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144/99 vom 15. Februar 2000</w:t>
      </w:r>
    </w:p>
    <w:p>
      <w:r>
        <w:t>Bundesgericht, 2000-02-15, DE</w:t>
      </w:r>
    </w:p>
    <w:p>
      <w:r>
        <w:rPr>
          <w:b/>
        </w:rPr>
        <w:t xml:space="preserve">Quelle: </w:t>
      </w:r>
      <w:r>
        <w:t>https://mcp.opencaselaw.ch/entscheid/bger_C_144_99</w:t>
      </w:r>
    </w:p>
    <w:p>
      <w:r>
        <w:t>FR: TF C 144/99 du 15 février 2000</w:t>
      </w:r>
    </w:p>
    <w:p>
      <w:r>
        <w:t>IT: TF C 144/99 del 15 febbraio 2000</w:t>
      </w:r>
    </w:p>
    <w:p>
      <w:pPr>
        <w:pStyle w:val="Heading2"/>
      </w:pPr>
      <w:r>
        <w:t>Regeste</w:t>
      </w:r>
    </w:p>
    <w:p>
      <w:r>
        <w:t>Arbeitslosenversicherung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Im weitern ist das Gericht nicht an die Begründung der Begehren in den Rechtsschriften gebunden (Art. 114 Abs. 1 am Ende OG in Verbindung mit Art. 132 OG ). Es kann im Rahmen der Rechtsanwendung von Amtes wegen eine Beschwerde gutheissen oder abweisen aus anderen Gründen als von der Beschwerdeführerin vorgetragen oder von der Vorinstanz erwogen ( BGE 122 V 36 Erw. 2b mit Hinweisen).</w:t>
      </w:r>
    </w:p>
    <w:p>
      <w:r>
        <w:rPr>
          <w:b/>
        </w:rPr>
        <w:t>E. 2</w:t>
      </w:r>
    </w:p>
    <w:p>
      <w:r>
        <w:t>a) Gemäss Art. 51 AVIG (lit. a in der bis Ende 1995 gültig gewesenen Fassung, Abs. 1 lit. a in der ab 1. Januar 1996 in Kraft getretenen Fassung)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Wird über den Arbeitgeber der Konkurs eröffnet, so muss der Arbeitnehmer nach Art. 53 Abs. 1 AVIG seinen Entschädigungsanspruch spätestens 60 Tage nach der Veröffentlichung des Konkurses im Schweizerischen Handelsamtsblatt bei der öffentlichen Kasse stellen, die am Ort des Betreibungs- und Konkursamtes zuständig ist. Bei dieser Frist handelt es sich um eine Verwirkungsfrist ( BGE 123 V 107 Erw. 2a; ARV 1995 Nr. 21 S. 124 Erw. 1a; vgl. auch ARV 1996 Nr. 13 S. 70 Erw. 1a zu Art. 53 Abs. 2 AVIG ), die als solche von Amtes wegen zu beachten ist ( BGE 118 II 330 ). b) Aus den Akten ergibt sich, was sämtliche Verfahrensbeteiligten übersehen, dass die Konkurseröffnung über den Arbeitgeber bereits im SHAB Nr. 124 vom 28. Juni 1996 publiziert worden ist. Eine Kopie dieser Publikation befindet sich in den vorinstanzlichen Akten (9 B/43). Ausserdem hat die Gerichtskanzlei des Kantonalen Arbeitsgerichts mit Schreiben vom 19. August 1996 die Beschwerdeführerin über die Konkurseröffnung orientiert und sie darauf hingewiesen, dass sie bei der Öffentlichen Arbeitslosenkasse in Brig einen Antrag auf Insolvenzentschädigung stellen solle. Unter diesen Umständen kommt auch eine Wiederherstellung der Frist nicht in Betracht. Nicht massgebend ist die zweite Publikation im SHAB Nr. 83 vom 2. Mai 1997, wonach der am 18. Juni 1996 eröffnete Konkurs im summarischen Verfahren durchgeführt werde (vgl. auch BGE 114 V 354 ). Das Gesuch um Insolvenzentschädigung vom 6. Mai 1997 erweist sich daher als verspätet, wie dies das kantonale Gericht im Ergebnis ebenfalls richtig festgestellt hat, allerdings unter Annahme des Insolvenztatbestandes nach Art. 51 Abs. 1 lit. b AVIG . Demnach erkennt das Eidg. Versicherungsgericht: I.Die Verwaltungsgerichtsbeschwerde wird abgewiesen. II.Es werden keine Gerichtskosten erhoben. III. Dieses Urteil wird den Parteien, der Kantonalen Rekurskommission in Sachen Arbeitslosigkeit, Sion, dem Kantonalen Arbeitsamt, Sion, und dem Staatssekretariat für Wirtschaft zugestellt. Luzern, 15. Februar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