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C_144/1999 vom 15. Februar 2000</w:t>
      </w:r>
    </w:p>
    <w:p>
      <w:r>
        <w:t>Bundesgericht, 2000-02-15, DE</w:t>
      </w:r>
    </w:p>
    <w:p>
      <w:r>
        <w:rPr>
          <w:b/>
        </w:rPr>
        <w:t xml:space="preserve">Quelle: </w:t>
      </w:r>
      <w:r>
        <w:t>https://mcp.opencaselaw.ch/entscheid/bger_C_144_1999</w:t>
      </w:r>
    </w:p>
    <w:p>
      <w:r>
        <w:t>FR: TF C_144/1999 du 15 février 2000</w:t>
      </w:r>
    </w:p>
    <w:p>
      <w:r>
        <w:t>IT: TF C_144/1999 del 15 febbraio 2000</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t>Im weitern ist das Gericht nicht an die Begründung der Begehren in den Rechtsschriften gebunden (Art. 114 Abs. 1 am Ende OG in Verbindung mit Art. 132 OG ). Es kann im Rahmen der Rechtsanwendung von Amtes wegen eine Beschwerde gutheissen oder abweisen aus anderen Gründen als von der Beschwerdeführerin vorgetragen oder von der Vorinstanz erwogen ( BGE 122 V 36 Erw. 2b mit Hinweisen).</w:t>
      </w:r>
    </w:p>
    <w:p>
      <w:r>
        <w:rPr>
          <w:b/>
        </w:rPr>
        <w:t>E. 2</w:t>
      </w:r>
    </w:p>
    <w:p>
      <w:r>
        <w:t>a) Gemäss Art. 51 AVIG (lit. a in der bis Ende 1995 gültig gewesenen Fassung, Abs. 1 lit. a in der ab 1. Januar 1996 in Kraft getretenen Fassung)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w:t>
      </w:r>
    </w:p>
    <w:p>
      <w:r>
        <w:t>Wird über den Arbeitgeber der Konkurs eröffnet, so muss der Arbeitnehmer nach Art. 53 Abs. 1 AVIG seinen Entschädigungsanspruch spätestens 60 Tage nach der Veröffentlichung des Konkurses im Schweizerischen Handelsamtsblatt bei der öffentlichen Kasse stellen, die am Ort des Betreibungs- und Konkursamtes zuständig ist. Bei dieser Frist handelt es sich um eine Verwirkungsfrist ( BGE 123 V 107 Erw. 2a; ARV 1995 Nr. 21 S. 124 Erw. 1a; vgl. auch ARV 1996 Nr. 13 S. 70 Erw. 1a zu Art. 53 Abs. 2 AVIG ), die als solche von Amtes wegen zu beachten ist ( BGE 118 II 330 ).</w:t>
      </w:r>
    </w:p>
    <w:p>
      <w:r>
        <w:t>b) Aus den Akten ergibt sich, was sämtliche Verfahrensbeteiligten übersehen, dass die Konkurseröffnung über den Arbeitgeber bereits im SHAB Nr. 124 vom 28. Juni 1996 publiziert worden ist. Eine Kopie dieser Publikation befindet sich in den vorinstanzlichen Akten (9 B/43). Ausserdem hat die Gerichtskanzlei des Kantonalen Arbeitsgerichts mit Schreiben vom 19. August 1996 die Beschwerdeführerin über die Konkurseröffnung orientiert und sie darauf hingewiesen, dass sie bei der Öffentlichen Arbeitslosenkasse in Brig einen Antrag auf Insolvenzentschädigung stellen solle. Unter diesen Umständen kommt auch eine Wiederherstellung der Frist nicht in Betracht. Nicht massgebend ist die zweite Publikation im SHAB Nr. 83 vom 2. Mai 1997, wonach der am 18. Juni 1996 eröffnete Konkurs im summarischen Verfahren durchgeführt werde (vgl. auch BGE 114 V 354 ). Das Gesuch um Insolvenzentschädigung vom 6. Mai 1997 erweist sich daher als verspätet, wie dies das kantonale Gericht im Ergebnis ebenfalls richtig festgestellt hat, allerdings unter Annahme des Insolvenztatbestandes nach Art. 51 Abs. 1 lit. b AVIG .</w:t>
      </w:r>
    </w:p>
    <w:p>
      <w:r>
        <w:t>Demnach erkennt das Eidg. Versicherungsgericht:</w:t>
      </w:r>
    </w:p>
    <w:p>
      <w:r>
        <w:t>I.Die Verwaltungsgerichtsbeschwerde wird abgewiesen.</w:t>
      </w:r>
    </w:p>
    <w:p>
      <w:r>
        <w:t>II.Es werden keine Gerichtskosten erhoben.</w:t>
      </w:r>
    </w:p>
    <w:p>
      <w:r>
        <w:t>III. Dieses Urteil wird den Parteien, der Kantonalen Rekurskommission in Sachen Arbeitslosigkeit, Sion, dem Kantonalen Arbeitsamt, Sion, und dem Staatssekretariat für Wirtschaft zugestellt.</w:t>
      </w:r>
    </w:p>
    <w:p>
      <w:r>
        <w:t>Luzern, 15. Februar 2000</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