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B_98/2003 vom 22. März 2004</w:t>
      </w:r>
    </w:p>
    <w:p>
      <w:r>
        <w:t>Bundesgericht, 2004-03-22, FR</w:t>
      </w:r>
    </w:p>
    <w:p>
      <w:r>
        <w:rPr>
          <w:b/>
        </w:rPr>
        <w:t xml:space="preserve">Quelle: </w:t>
      </w:r>
      <w:r>
        <w:t>https://mcp.opencaselaw.ch/entscheid/bger_B_98_2003</w:t>
      </w:r>
    </w:p>
    <w:p>
      <w:r>
        <w:t>FR: TF B_98/2003 du 22 mars 2004</w:t>
      </w:r>
    </w:p>
    <w:p>
      <w:r>
        <w:t>IT: TF B_98/2003 del 22 marzo 2004</w:t>
      </w:r>
    </w:p>
    <w:p>
      <w:pPr>
        <w:pStyle w:val="Heading2"/>
      </w:pPr>
      <w:r>
        <w:t>Erwägungen</w:t>
      </w:r>
    </w:p>
    <w:p>
      <w:r>
        <w:rPr>
          <w:b/>
        </w:rPr>
        <w:t>E. 1</w:t>
      </w:r>
    </w:p>
    <w:p>
      <w:r>
        <w:t>Le litige porte sur le point de savoir si l'intimée était ou non en droit de supprimer ses prestations pour cause de surindemnisation.</w:t>
      </w:r>
    </w:p>
    <w:p>
      <w:r>
        <w:rPr>
          <w:b/>
        </w:rPr>
        <w:t>E. 2</w:t>
      </w:r>
    </w:p>
    <w:p>
      <w:r>
        <w:t>Selon l' art. 24 al. 1 OPP 2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(art. 24 al. 2 OPP2).</w:t>
      </w:r>
    </w:p>
    <w:p>
      <w:r>
        <w:t>Le règlement de la fondation (en vigueur depuis le 1er janvier 2002) reprend en substance cette réglementation (art. 32).</w:t>
      </w:r>
    </w:p>
    <w:p>
      <w:r>
        <w:t>On notera par ailleurs que l'entrée en vigueur de la LPGA et des adaptations de la LPP y relatives n'ont pas modifié la situation juridique en ce qui concerne les règles sur la surindemnisation. L' art. 34a al. 1 et 2 LPP (relatif notamment à la coordination) et l' art. 34 al. 2 LPP dans sa teneur en vigueur jusqu'au 31 décembre 2002 ont le même contenu matériel en ce domaine. L' art. 69 al. 2 LPGA n'est ainsi pas applicable à la prévoyance professionnelle (arrêt P. du 16 décembre 2003 [ B 60/03], destiné à la publication).</w:t>
      </w:r>
    </w:p>
    <w:p>
      <w:r>
        <w:rPr>
          <w:b/>
        </w:rPr>
        <w:t>E. 3</w:t>
      </w:r>
    </w:p>
    <w:p>
      <w:r>
        <w:t>C'est en vain, tout d'abord, que le recourant prétend que la rente pour épouse ne doit pas être portée en compte dans le calcul de la surindemnisation et que la moitié seulement des rentes pour enfants doit être prise en considération. Le recourant se fonde, en effet, sur l'art. 21 du règlement de la Fondation dans son ancienne version de 1990, qui correspondait à l'ancienne teneur de l' art. 24 al. 3 OPP 2 , en vigueur jusqu'au 31 décembre 1992. Depuis les modifications apportées à l'OPP 2 par la novelle du 28 octobre 1992 (entrée en vigueur le 1er janvier 1993), la rente pour l'épouse et les rentes pour enfants sont comptées à parts entières ( ATF 126 V 468 , 122 V 316). Le règlement de l'intimée, entré en vigueur le 1er janvier 2002, ne contient, à cet égard, pas de dispositions en sens contraire. Par ailleurs, la réglementation en vigueur depuis le 1er janvier 1992 est applicable en l'espèce, quand bien même l'incapacité de travail a débuté avant le 31 décembre 1992 ( ATF 122 V 319 consid. 3c).</w:t>
      </w:r>
    </w:p>
    <w:p>
      <w:r>
        <w:rPr>
          <w:b/>
        </w:rPr>
        <w:t>E. 4</w:t>
      </w:r>
    </w:p>
    <w:p>
      <w:r>
        <w:t>Il s'agit maintenant d'examiner la question de la limite de la surindemnisation à prendre en considération.</w:t>
      </w:r>
    </w:p>
    <w:p>
      <w:r>
        <w:rPr>
          <w:b/>
        </w:rPr>
        <w:t>E. 4.1</w:t>
      </w:r>
    </w:p>
    <w:p>
      <w:r>
        <w:t>Comme en première instance, le recourant fait valoir que son frère, qui exerce la même activité que lui au sein de l'entreprise, mais à plein temps, a obtenu un revenu brut de 106'100 fr. en 2001. C'est donc un salaire de cet ordre qu'il conviendrait de prendre en considération pour fixer, dans son cas, la limite de surindemnisation.</w:t>
      </w:r>
    </w:p>
    <w:p>
      <w:r>
        <w:t>Les premiers juges, qui ont confirmé le calcul de la caisse, considèrent à ce propos que l'argumentation du recourant repose sur le postulat implicite que la société pourrait en permanence fournir du travail à deux employés au moins à plein temps, alors qu'elle n'utilise actuellement qu'un poste et demi pour les deux emplois en question; ce postulat impliquerait de surcroît que l'ouvrage soit fourni dans une mesure suffisante pour permettre à chacun des deux travailleurs à plein temps d'obtenir une rétribution sensiblement supérieure à celle découlant de la convention collective cantonale, alors même que rien n'indique en quoi leurs prestations respectives seraient supérieures à celles de travailleurs dans une entreprise concurrente. Il conviendrait donc, toujours selon les juges cantonaux, de s'en tenir au salaire découlant d'une convention collective, censé refléter la réalité du marché de l'emploi dans la branche considérée.</w:t>
      </w:r>
    </w:p>
    <w:p>
      <w:r>
        <w:rPr>
          <w:b/>
        </w:rPr>
        <w:t>E. 4.2</w:t>
      </w:r>
    </w:p>
    <w:p>
      <w:r>
        <w:t>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 ATF 125 V 164 consid. 3b, 123 V 197 consid. 5a, 209 consid. 5b et les références). Pour définir cette notion, elle s'est notamment référée aux anciens art. 45 LAI et 39bis RAI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154 consid. 3c). En ce sens, il existe une étroite relation entre le gain annuel dont on peut présumer que l'intéressé est privé et le revenu sans invalidité déterminant pour l'évaluation de l'invalidité (arrêt T. du 17 octobre 2003 [B 80/01]; cf. Ueli Kieser, ATSG Kommentar, note 12 ad art. 69).</w:t>
      </w:r>
    </w:p>
    <w:p>
      <w:r>
        <w:t>Pour fixer le revenu sans invalidité, il faut établir ce que l'assuré aurait, au degré de la vraisemblance prépondérante, réellement pu obtenir au moment déterminant s'il n'était pas invalide (RAMA 2000 no U 400 p. 381 consid. 2a et la référence, 1993 no U 168 p. 100 consid. 3b et la référence). Le revenu sans invalidité doit être évalué de la manière la plus concrète possible; c'est pourquoi il se déduit en principe du salaire réalisé en dernier lieu par l'assuré avant l'atteinte à la santé, en tenant compte de l'évolution des salaires ( ATF 129 V 474 consid. 4.1).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(Meyer-Blaser, Bundesgesetz über die Invalidenversicherung [IVG], 1997, p. 208; RCC 1981 p. 40).</w:t>
      </w:r>
    </w:p>
    <w:p>
      <w:r>
        <w:rPr>
          <w:b/>
        </w:rPr>
        <w:t>E. 4.3</w:t>
      </w:r>
    </w:p>
    <w:p>
      <w:r>
        <w:t>En l'occurrence, la fondation intimée est partie d'un salaire de 70'200 fr. en 1991, qu'elle a indexé selon la convention collective de référence pour parvenir, en 2002, à un gain présumé perdu de 83'263 fr. Cette manière de faire ne peut sans plus être confirmée. Tout d'abord, il y a lieu de constater que l'assuré est au bénéfice d'une demi-rente de l'assurance-invalidité. Comme on l'a vu, il existe une relation étroite entre le gain annuel dont on peut présumer que l'assuré est privé et le revenu sans invalidité déterminant pour l'évaluation de l'invalidité. Or, on ignore quels sont les éléments de revenu à comparer qui ont été pris en compte par l'assurance-invalidité pour aboutir à un taux d'invalidité ouvrant droit à une demi-rente. A lire le dossier, on constate d'ailleurs que le droit du recourant à une demi-rente a été maintenu en 2001, à l'issue d'une procédure de révision (lettre de l'Office de l'assurance-invalidité du canton de Neuchâtel à l'assuré du 2 février 2001). Dès lors, si l'on devait en l'occurrence retenir une limite de surindemnisation de 83'263 fr., on devrait en conclure, compte tenu d'un revenu annuel de 52'000 fr. réalisé par l'assuré dans son activité actuelle, que l'office de l'assurance-invalidité maintient à tort le droit du recourant à une rente. Dans cette hypothèse, en effet, le degré d'invalidité serait inférieur à 40 pour cent.</w:t>
      </w:r>
    </w:p>
    <w:p>
      <w:r>
        <w:rPr>
          <w:b/>
        </w:rPr>
        <w:t>E. 4.4</w:t>
      </w:r>
    </w:p>
    <w:p>
      <w:r>
        <w:t>La fixation de la limite de la surindemnisation dépend de l'établissement de certains faits et de l'appréciation des preuves. Or, à ce stade, le Tribunal fédéral des assurances ne dispose pas d'éléments de fait suffisants pour fixer cette limite. Ainsi, le dossier ne contient aucun renseignement sur la formation professionnelle du recourant et sur sa carrière avant la survenance de l'invalidité. On ignore aussi sur quelle base l'intimée s'est fondée pour retenir un salaire de 70'200 fr. en 1991. De même, on ne dispose d'aucune indication sur le salaire versé au frère du recourant avant la survenance de l'invalidité, ni sur l'évolution de ce salaire durant les années ultérieures ou encore sur la répartition entre les deux frères des activités dans la société. Ces derniers éléments seraient éventuellement aptes à fournir des indices sur l'évolution probable du salaire du recourant sans invalidité. Il ne faut pas perdre de vue, enfin, que le recourant, actionnaire et administrateur de la société qui l'emploie, a un statut qui s'apparente, dans les faits, à celui d'un indépendant. Or, il n'est pas d'emblée exclu qu'un indépendant à la tête d'une entreprise familiale d'installation de chauffages et de sanitaires puisse réaliser un revenu sensiblement supérieur à 80'000 fr., même si l'entreprise est exploitée en association avec un autre membre de la famille. Il n'est pas non plus déraisonnable de penser que si le recourant était à même de mettre à profit sa capacité de travail sans restriction, il pourrait espérer un revenu comparable à celui de son frère. L'affirmation selon laquelle l'entreprise n'aurait pas un volume de travail suffisant pour deux membres de la famille occupés à plein temps relève de supputations dont la pertinence ne peut guère être vérifiée faute d'éléments concrets.</w:t>
      </w:r>
    </w:p>
    <w:p>
      <w:r>
        <w:rPr>
          <w:b/>
        </w:rPr>
        <w:t>E. 4.5</w:t>
      </w:r>
    </w:p>
    <w:p>
      <w:r>
        <w:t>Dans ces conditions, on ne saurait, sans autre forme de procès, fixer la limite de surindemnisation sur la base uniquement de l'indexation d'un revenu obtenu en 1991. En l'absence de tout élément qui permettrait de mieux cerner la situation du cas particulier, il convient de renvoyer la cause aux premiers juges, pour qu'ils complètent l'instruction, en premier lieu par l'apport du dossier de l'assurance-invalidité, et statuent à nouveau.</w:t>
      </w:r>
    </w:p>
    <w:p>
      <w:r>
        <w:rPr>
          <w:b/>
        </w:rPr>
        <w:t>E. 5</w:t>
      </w:r>
    </w:p>
    <w:p>
      <w:r>
        <w:t>Vu la nature du litige, la procédure est gratuite ( art. 134 OJ ). Par ailleurs, le recourant, qui obtient gain de cause, a droit à une indemnité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