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8/04 vom 28. Januar 2005</w:t>
      </w:r>
    </w:p>
    <w:p>
      <w:r>
        <w:t>Bundesgericht, 2005-01-28, FR</w:t>
      </w:r>
    </w:p>
    <w:p>
      <w:r>
        <w:rPr>
          <w:b/>
        </w:rPr>
        <w:t xml:space="preserve">Quelle: </w:t>
      </w:r>
      <w:r>
        <w:t>https://mcp.opencaselaw.ch/entscheid/bger_B_8_04</w:t>
      </w:r>
    </w:p>
    <w:p>
      <w:r>
        <w:t>FR: TF B 8/04 du 28 janvier 2005</w:t>
      </w:r>
    </w:p>
    <w:p>
      <w:r>
        <w:t>IT: TF B 8/04 del 28 gennaio 2005</w:t>
      </w:r>
    </w:p>
    <w:p>
      <w:pPr>
        <w:pStyle w:val="Heading2"/>
      </w:pPr>
      <w:r>
        <w:t>Regeste</w:t>
      </w:r>
    </w:p>
    <w:p>
      <w:r>
        <w:t>Prévoyance professionnelle | 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et le recours de droit administratif est recevable de ce chef.</w:t>
      </w:r>
    </w:p>
    <w:p>
      <w:r>
        <w:rPr>
          <w:b/>
        </w:rPr>
        <w:t>E. 2.1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 ATF 118 V 102 consid. 1). De manière plus générale, l'intérêt digne de protection requis fait défaut, en règle ordinaire, lorsque la partie peut obtenir en sa faveur un jugement condamnatoire; en ce sens, le droit d'obtenir une décision en constatation est subsidiaire (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 ATF 122 III 282 consid. 3a, 120 II 22 consid. 3).</w:t>
      </w:r>
    </w:p>
    <w:p>
      <w:r>
        <w:rPr>
          <w:b/>
        </w:rPr>
        <w:t>E. 2.2</w:t>
      </w:r>
    </w:p>
    <w:p>
      <w:r>
        <w:t>En l'espèce, la juridiction cantonale a considéré que la recourante avait un intérêt digne de protection à la constatation du montant de la rente à laquelle elle aura droit au moment où elle atteindra l'âge de la retraite, soit en 2007. Ce point de vue peut être partagé. Du moment qu'elle perçoit une rente d'invalidité, la recourante - alors âgée de 58 ans - avait un intérêt suffisant à être fixée sur l'étendue de ses droits en matière de prévoyance professionnelle dans un avenir relativement proche, en vue des dispositions qu'elle pouvait être amenée à prendre pour les années suivantes et compte tenu de l'importance de la différence entre les montants de la rente d'invalidité et de la future rente de vieillesse, selon que ses conclusions seraient ou non admises par le Tribunal.</w:t>
      </w:r>
    </w:p>
    <w:p>
      <w:r>
        <w:rPr>
          <w:b/>
        </w:rPr>
        <w:t>E. 3</w:t>
      </w:r>
    </w:p>
    <w:p>
      <w:r>
        <w:t>Le jugement entrepris n'a pas pour objet l'octroi ou le refus de prestations d'assurance au sens de l' art. 132 OJ , ce par quoi il faut entendre des prestations dont on examine la légitimité lors de la survenance de l'éventualité assurée ( ATF 118 V 102 consid. 2, 116 V 333 consid. 2a et les références). Cela étant,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Aux termes de la let. f al. 1 des dispositions transitoires, les rentes d'invalidité en cours avant l'entrée en vigueur des modifications légales sont toutefois régies par l'ancien droit.</w:t>
      </w:r>
    </w:p>
    <w:p>
      <w:r>
        <w:rPr>
          <w:b/>
        </w:rPr>
        <w:t>E. 5</w:t>
      </w:r>
    </w:p>
    <w:p>
      <w:r>
        <w:t>Principalement, le litige porte sur le point de savoir si la recourante pourra prétendre le maintien, après l'accomplissement de l'âge de la retraite, de son droit à une rente d'invalidité de la prévoyance plus étendue ou l'octroi, à partir de cette date, d'une rente de vieillesse d'un montant équivalant à celui de la rente d'invalidité servie jusqu'alors.</w:t>
      </w:r>
    </w:p>
    <w:p>
      <w:r>
        <w:rPr>
          <w:b/>
        </w:rPr>
        <w:t>E. 6.1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Schweizerisches Bundesverwaltungsrecht [SBVR], Soziale Sicherheit, p. 38 ch. 91; Erich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6.2</w:t>
      </w:r>
    </w:p>
    <w:p>
      <w:r>
        <w:t>Dans son arrêt ATF 127 V 259 , déjà cité,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A l'appui de cette jurisprudence, il a considéré que le remplacement d'une rente d'invalidité par une rente de vieillesse d'un montant inférieur contredit l'idée qui est à la base du système de la prévoyance professionnelle voulu par le législateur. D'une part, cette solution n'est pas compatible avec le principe général valable dans le domaine de la prévoyance professionnelle, selon lequel l'assuré ayant atteint l'âge de la retraite doit pouvoir maintenir son niveau de vie habituel. D'autre part, si le montant de la rente de vieillesse est inférieur à celui de la rente d'invalidité, cela est dû au fait que l'invalidité a empêché le financement d'une rente de vieillesse équivalant à la rente d'invalidité. En effet, l'invalide n'a pas été à même, par ses contributions, d'augmenter son avoir de vieillesse dans la même mesure que les autres assurés qui ont travaillé jusqu'à l'âge de la retraite.</w:t>
      </w:r>
    </w:p>
    <w:p>
      <w:r>
        <w:rPr>
          <w:b/>
        </w:rPr>
        <w:t>E. 7</w:t>
      </w:r>
    </w:p>
    <w:p>
      <w:r>
        <w:t>Dans un arrêt récent, le Tribunal fédéral des assurances est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7.1</w:t>
      </w:r>
    </w:p>
    <w:p>
      <w:r>
        <w:t>Il a considéré, en résumé, que la motivation de l'arrêt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le fondement d'un droit à prestations dans le domaine de la prévoyance plus étendue. Il s'agit là d'un simple mandat général à l'intention du législateur et dont on ne saurait tirer une prétention concrète à une prestation de la prévoyance professionnelle ( ATF 130 V 373 s. consid. 6.1 et les nombreuses références de doctrine).</w:t>
      </w:r>
    </w:p>
    <w:p>
      <w:r>
        <w:rPr>
          <w:b/>
        </w:rPr>
        <w:t>E. 7.2</w:t>
      </w:r>
    </w:p>
    <w:p>
      <w:r>
        <w:t>Par ailleurs, le Tribunal fédéral des assurances a remis en cause la motivation de l'arrêt ATF 127 V 259 selon laquelle la réduction du montant de la prestation résultant de l'allocation de la rente de vieillesse est due à l'invalidité qui a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7.3</w:t>
      </w:r>
    </w:p>
    <w:p>
      <w:r>
        <w:t>Le Tribunal fédéral des assurances a tenu compte également des critiques de la doctrine (cf. en particulier Jacques-André Schneider, ATF 127 V 259 : La fin du système de la biprimauté des prestations dans la prévoyance professionnelle?, in: RSAS 2002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 ATF 130 V 375 consid. 6.3).</w:t>
      </w:r>
    </w:p>
    <w:p>
      <w:r>
        <w:rPr>
          <w:b/>
        </w:rPr>
        <w:t>E. 7.4</w:t>
      </w:r>
    </w:p>
    <w:p>
      <w:r>
        <w:t>A l'appui d'un changement de jurisprudence, le Tribunal fédéral des assurances se réfère en outre au principe selon lequel les institutions de prévoyance sont libres, dans le domaine de la prévoyance plus étendue, en ce qui concerne l'aménagement des prestations et leur financement dans les limites fixées à l' art. 49 al. 2 LPP ,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 ATF 130 V 376 consid. 6.4, et les références de doctrine et de jurisprudence).</w:t>
      </w:r>
    </w:p>
    <w:p>
      <w:r>
        <w:rPr>
          <w:b/>
        </w:rPr>
        <w:t>E. 7.5</w:t>
      </w:r>
    </w:p>
    <w:p>
      <w:r>
        <w:t>On peut d'ailleurs relever qu'à l'occasion de la première révision de la LPP, l' art. 49 al. 1 LPP (dont la nouvelle teneur ne concerne toutefois pas les rentes d'invalidité en cours [cf. consid. 4])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8</w:t>
      </w:r>
    </w:p>
    <w:p>
      <w:r>
        <w:t>En l'occurrence, tant l'art. 33 du règlement de prévoyance en faveur du personnel du Groupe X.________, en vigueur depuis le 1er janvier 1995 (ci-après : le règlement 1995), que l'art. 50 du règlement de prévoyance en faveur du personnel des sociétés suisses de Y.________ ou en mission à l'étranger, valable depuis le 1er janvier 2000 (ci-après : le règlement 2000) et du règlement de prévoyance en faveur du personnel des sociétés suisses du Groupe Z.________ ou en mission à l'étranger, en vigueur depuis le 1er janvier 2002 (ci-après : le règlement 2002), prévoient que le droit à la rente d'invalidité s'éteint notamment lorsque l'assuré atteint l'âge de la retraite. Par ailleurs, selon l'art. 37 du règlement 1995 et l'art. 56 des règlements 2000 et 2002, les cotisations de l'assuré invalide cessent d'être dues pour la durée du droit à la rente d'invalidité proportionnellement au degré de celle-ci. Sur le vu de la jurisprudence posée à l'arrêt ATF 130 V 369 , la recourante ne pourra dès lors pas prétendre le maintien, après l'accomplissement de l'âge de la retraite, de son droit à une rente d'invalidité de la prévoyance plus étendue ou l'octroi, à partir de cette date, d'une rente de vieillesse d'un montant équivalant à celui de la rente d'invalidité servie jusqu'alors. La conclusion principale du recours se révèle ainsi mal fondée.</w:t>
      </w:r>
    </w:p>
    <w:p>
      <w:r>
        <w:rPr>
          <w:b/>
        </w:rPr>
        <w:t>E. 9</w:t>
      </w:r>
    </w:p>
    <w:p>
      <w:r>
        <w:t>Subsidiairement, le litige porte sur le point de savoir si l'âge réglementaire de la retraite doit être fixé à 65 ans pour la recourante.</w:t>
      </w:r>
    </w:p>
    <w:p>
      <w:r>
        <w:rPr>
          <w:b/>
        </w:rPr>
        <w:t>E. 9.1</w:t>
      </w:r>
    </w:p>
    <w:p>
      <w:r>
        <w:t>Tandis que le règlement 1995 (art. 21) fixe le moment de la retraite réglementaire au premier jour du mois qui suit celui où la femme atteint l'âge de 62 ans, l'art. 39 des règlements 2000 et 2002 dispose que l'âge réglementaire ordinaire de la retraite est atteint à l'âge de 65 ans. La juridiction cantonale a jugé applicable au cas d'espèce l'art. 21 du règlement 1995, motif pris qu'aux termes des dispositions transitoires des règlements 2000 et 2002, « en cas d'invalidité ou de décès, les dispositions réglementaires en vigueur au début de l'incapacité de travail qui a conduit à l'invalidité, respectivement au décès, sont applicables ». La recourante conteste ce point de vue en faisant valoir que ces dispositions transitoires ne sont applicables qu'à la fixation des prestations d'invalidité, l'âge réglementaire de la retraite devant être fixé à 65 ans pour les bénéficiaires de prestations d'invalidité, à l'instar des assurés actifs. De son côté, la fondation intimée se réfère à la motivation du jugement cantonal et ajoute que si l'on appliquait en l'occurrence les dispositions fixant à 65 ans l'âge de la retraite, on aurait une lacune de prestations de trois ans, puisque le droit à la rente d'invalidité, régi par le règlement 1995, s'éteint à l'âge de 62 ans.</w:t>
      </w:r>
    </w:p>
    <w:p>
      <w:r>
        <w:rPr>
          <w:b/>
        </w:rPr>
        <w:t>E. 9.2</w:t>
      </w:r>
    </w:p>
    <w:p>
      <w:r>
        <w:t>En l'occurrence, il n'est pas contesté que le droit de la recourante à la rente d'invalidité est régi par le règlement 1995. Celui-ci prévoit notamment que cette prestation s'éteint lorsque le bénéficiaire atteint l'âge de la retraite (art. 33). C'est pourquoi l'âge de la retraite doit être fixé nécessairement au regard du règlement précité, à défaut de quoi on irait à l'encontre du principe de l'équivalence, dans la mesure où l'institution de prévoyance se verrait imposer, sans base contractuelle claire, une charge de prestations nouvelle sans que celle-ci soit couverte par des cotisations correspondantes durant les années d'assurance (cf. consid. 7.3). Les dispositions transitoires des règlements 2000 et 2002 ne sont dès lors pas critiquables, dans la mesure où elles ont pour conséquence que la recourante, au bénéfice d'une rente d'invalidité depuis le 1er novembre 1999, verra cette prestation s'éteindre lorsqu'elle aura atteint l'âge de 62 ans. La conclusion subsidiaire du recours se révèle ainsi également mal fondée.</w:t>
      </w:r>
    </w:p>
    <w:p>
      <w:r>
        <w:rPr>
          <w:b/>
        </w:rPr>
        <w:t>E. 10</w:t>
      </w:r>
    </w:p>
    <w:p>
      <w:r>
        <w:t>Le litige ne portant pas sur l'octroi ou le refus de prestations d'assurance (cf. consid. 3), la procédure n'est pas gratuite ( art. 134 OJ a contrario). La recourante, qui succombe, supportera les frais de la cause ( art. 156 al. 1 OJ ). La Fondation intimée a conclu à l'octroi de dépens. Bien qu'elle obtienne gain de cause, elle ne saurait en prétendre, aucune indemnité pour les frais de procès n'étant allouée, en règle générale, aux organismes chargés de tâches de droit public (art. 159 al. 2 in fine OJ; ATF 118 V 169 s. consid. 7 et les références). En l'occurrence, il n'y a pas de motif de s'écarter de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