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86/04 vom 28. Dezember 2004</w:t>
      </w:r>
    </w:p>
    <w:p>
      <w:r>
        <w:t>Bundesgericht, 2004-12-28, DE</w:t>
      </w:r>
    </w:p>
    <w:p>
      <w:r>
        <w:rPr>
          <w:b/>
        </w:rPr>
        <w:t xml:space="preserve">Quelle: </w:t>
      </w:r>
      <w:r>
        <w:t>https://mcp.opencaselaw.ch/entscheid/bger_B_86_04</w:t>
      </w:r>
    </w:p>
    <w:p>
      <w:r>
        <w:t>FR: TF B 86/04 du 28 décembre 2004</w:t>
      </w:r>
    </w:p>
    <w:p>
      <w:r>
        <w:t>IT: TF B 86/04 del 28 dicembre 2004</w:t>
      </w:r>
    </w:p>
    <w:p>
      <w:pPr>
        <w:pStyle w:val="Heading2"/>
      </w:pPr>
      <w:r>
        <w:t>Regeste</w:t>
      </w:r>
    </w:p>
    <w:p>
      <w:r>
        <w:t>Berufliche Vorsorge | 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 In zeitlicher Hinsicht sind für das Eidgenössische Versicherungsgericht die tatsächlichen Verhältnisse massgebend, wie sie sich bis zum Erlass des kantonalen Gerichtsentscheides entwickelt haben (nicht publ. Erw. 1b des Urteils BGE 127 V 373 ; SZS 1999 S. 149 Erw. 3 Ingress).</w:t>
      </w:r>
    </w:p>
    <w:p>
      <w:r>
        <w:rPr>
          <w:b/>
        </w:rPr>
        <w:t>E. 2.1</w:t>
      </w:r>
    </w:p>
    <w:p>
      <w:r>
        <w:t>Im Rahmen von Art. 73 Abs. 4 BVG entscheidet sich die Frage der Überprüfungsbefugnis des Eidgenössischen Versicherungsgerichts danach, ob ein Streit um Versicherungsleistungen vorliegt ( BGE 116 V 334 Erw. 2b). Geht es um Versicherungsleistungen, so erstreckt sich die Überprüfungsbefugnis des Eidgenössischen Versicherungsgerichts auch auf die Angemessenheit des angefochtenen Entscheides; das Gericht ist dabei nicht an die vorinstanzliche Feststellung des rechtserheblichen Sachverhalts gebunden und kann über die Begehren der Parteien zu deren Gunsten oder Ungunsten hinausgehen ( Art. 132 OG ; BGE 126 V 470 Erw. 1b mit Hinweis). Die dem Eidgenössischen Versicherungsgericht in Leistungsstreitigkeiten zustehende Kognition hat u.a. zur Konsequenz, dass auch neue, erstmals im letztinstanzlichen Verfahren vorgebrachte Tatsachenbehauptungen und Beweismittel zu berücksichtigen sind (BGE 109 I b 248 f. Erw. 3b, 103 I b 196 Erw. 4a, 102 I b 127 Erw. 2a; RKUV 1988 Nr. K 769 S. 244 Erw. 5a). Das (Noven-)Recht, den rechtserheblichen Sachverhalt noch im Verfahren vor dem Eidgenössischen Versicherungsgericht durch neue Tatsachenbehauptungen und Beweismittel zu ergänzen, steht allerdings wie jede Rechtsausübung unter dem Vorbehalt des Rechtsmissbrauchs ( Art. 2 Abs. 2 ZGB ). Ein solcher liegt namentlich dann vor, wenn es sich bei den neuen Beweismitteln um so genannte unechte Noven handelt, die von der Beschwerdeführerin ohne weiteres bereits im vorinstanzlichen Rechtsmittelverfahren hätten eingebracht werden können und deren verspätete Auflage im letztinstanzlichen Verfahren einzig zum Zweck hat, Vorinstanz und Gegenpartei zu verunmöglichen, zur Rechtserheblichkeit, Beweistauglichkeit und Beweiskraft der neuen Beweismittel bereits im Zuge des erstinstanzlichen Rechtsmittelverfahrens Stellung nehmen zu können (Urteil C. vom 14. Oktober 2004 Erw. 2.2.1, U 66/04).</w:t>
      </w:r>
    </w:p>
    <w:p>
      <w:r>
        <w:rPr>
          <w:b/>
        </w:rPr>
        <w:t>E. 2.2</w:t>
      </w:r>
    </w:p>
    <w:p>
      <w:r>
        <w:t>Die Beschwerdeführerin reichte letztinstanzlich erstmals das Fähigkeitszeugnis vom 23. November 1999 (Abschlussdatum des Kurses Kommunikation II) ein. Da dessen Inhalt - wie aus den nachfolgenden Erwägungen hervorgeht - nicht rechtserheblich ist, kann offen bleiben, ob das diesbezügliche prozessuale Vorgehen der Beschwerdeführerin rechtsmissbräuchlich ist.</w:t>
      </w:r>
    </w:p>
    <w:p>
      <w:r>
        <w:rPr>
          <w:b/>
        </w:rPr>
        <w:t>E. 3</w:t>
      </w:r>
    </w:p>
    <w:p>
      <w:r>
        <w:t>Die Beschwerdeführerin legte am 27. September 2004 einen Bericht des Chiropraktors Dr. N.________ vom 20. September 2004 auf. Da dies ausserhalb der Rechtsmittelfrist und nicht im Rahmen eines zweiten Schriftenwechsels erfolgte, ist dieser Bericht nur beachtlich, soweit er neue erhebliche Tatsachen oder entscheidende Beweismittel im Sinne von Art. 137 lit. b OG enthält und diese eine Revision des Gerichtsurteils rechtfertigen könnten ( BGE 127 V 353 ). Dies ist - wie die nachfolgenden Erwägungen zeigen - nicht der Fall.</w:t>
      </w:r>
    </w:p>
    <w:p>
      <w:r>
        <w:rPr>
          <w:b/>
        </w:rPr>
        <w:t>E. 4</w:t>
      </w:r>
    </w:p>
    <w:p>
      <w:r>
        <w:t>Das kantonale Gericht hat die Bestimmungen über den Beginn der obligatorischen Versicherung ( Art. 10 Abs. 1 BVG ; Art. 3.2 des Vorsorgereglements der Stiftung, nachfolgend Reglement), den Anspruch auf Invalidenleistungen der obligatorischen beruflichen Vorsorge ( Art. 23 BVG ), den Eintritt der invalidisierenden Arbeitsunfähigkeit (Eröffnung der Wartezeit; Art. 29 Abs. 1 lit. b IVG in Verbindung mit Art. 26 Abs. 1 BVG ) und die Nichtunterstellung unter die obligatorische Versicherung von Arbeitnehmern mit einem befristeten Arbeitsvertrag von höchstens drei Monaten (Art. 1 Abs. 1 lit. b BVV2; Art. 3.1 Abs. 2 lit. d des Reglements) zutreffend dargelegt. Gleiches gilt zum Begriff der Arbeitsunfähigkeit ( BGE 114 V 286 Erw. 3c), zu dem für die Leistungspflicht der Vorsorgeeinrichtung massgebenden Erfordernis des engen sachlichen und zeitlichen Zusammenhangs zwischen dem Eintritt der Arbeitsunfähigkeit und der Invalidität ( BGE 123 V 264 f. Erw. 1c mit Hinweis), zur Verbindlichkeit der Beschlüsse der Organe der Invalidenversicherung für die Einrichtungen der beruflichen Vorsorge ( BGE 130 V 273 f. Erw. 3.1 mit Hinweisen) und zu dem im Sozialversicherungsrecht geltenden Beweisgrad der überwiegenden Wahrscheinlichkeit ( BGE 129 V 153 Erw. 2.1 mit Hinweisen). Darauf wird verwiesen.</w:t>
      </w:r>
    </w:p>
    <w:p>
      <w:r>
        <w:rPr>
          <w:b/>
        </w:rPr>
        <w:t>E. 5</w:t>
      </w:r>
    </w:p>
    <w:p>
      <w:r>
        <w:t>Die Vorinstanz hat richtig festgehalten, dass der IV-Beschluss betreffend Zusprechung einer ganzen Invalidenrente an die Beschwerdeführerin ab 1. April 2000 (Verfügung vom 16. Dezember 2002) für die Stiftung nicht bindend ist, der Beginn der Arbeitsunfähigkeit vielmehr frei zu prüfen ist, da die Stiftung nicht in das invalidenversicherungsrechtliche Verfahren einbezogen worden ist und auch nicht auf die invalidenversicherungsrechtliche Betrachtungsweise abgestellt hat ( BGE 130 V 273 f. Erw. 3.1).</w:t>
      </w:r>
    </w:p>
    <w:p>
      <w:r>
        <w:rPr>
          <w:b/>
        </w:rPr>
        <w:t>E. 6.1</w:t>
      </w:r>
    </w:p>
    <w:p>
      <w:r>
        <w:t>Das kantonale Gericht hat zutreffend erwogen, dass die von der Beschwerdeführerin bei der Firma K.________ im März 1999 absolvierte entlöhnte Schulung auf einer eigenständigen, für einen Monat befristeten Vereinbarung beruhte, weshalb sie in dieser Zeit der obligatorischen Versicherung nicht unterstellt war (Art. 1 Abs. 1 lit. b BVV2; Art. 3.1 Abs. 2 lit. d des Reglements). Das Vorsorgeverhältnis habe erst mit dem im Arbeitsvertrag vom 28. Januar 1999 stipulierten Antritt der Stelle als Fitnessinstruktorin am 1. April 1999 begonnen, was sich auch darin manifestiere, dass die Anmeldung bei der Stiftung am 26. März 1999 per 1. April 1999 erfolgt sei. Weiter hat die Vorinstanz gestützt auf die Berichte des Dr. med. D.________ vom 30. März 1999, des Dr. N.________ vom 6. April 1999 und der Frau Dr. med. R.________, Innere Medizin FMH, vom 27. Juni 1999 zu Recht festgestellt, dass die Beschwerdeführerin seit 23. März 1999 zu 50 % arbeitsunfähig war und hiebei nur noch leichtere Arbeiten ohne Heben und Tragen sowie mit häufig wechselnder Haltung ausüben konnte. Da sie mithin vor Beginn des Vorsorgeverhältnisses arbeitsunfähig geworden sei, sei die Stiftung nicht leistungspflichtig. Im Weiteren hat das kantonale Gericht richtig erkannt, dass selbst dann keine Leistungspflicht der Stiftung bestünde, wenn man mit der Beschwerdeführerin davon ausginge, das Vorsorgeverhältnis habe schon am 1. März 1999 begonnen oder die Arbeitsunfähigkeit habe erst am 19. April 1999 eingesetzt. Denn aus den ärztlichen Unterlagen ergebe sich, dass die Beschwerdeführerin seit 1995 an einem hartnäckigen Zervikalsyndrom mit pseudoradikulären Manifestationen gelitten habe, welches sich nach einem Treppensturz am 1. März 1997 verschlimmert und zu einer 100%igen Arbeitsunfähigkeit vom 19. Juni bis 17. Oktober 1997 geführt habe. Am 13. August 1997 sei eine schwere reaktive Depression festgestellt worden. Ab 14. Oktober 1998 seien Beschwerden an der linken Schulter hinzugekommen. Vom 2. September bis 4. November 1998 sei die Beschwerdeführerin zu 100 % und vom 5. bis 18. November 1998 zu 50 % arbeitsunfähig gewesen. Nach der Wiederaufnahme der Arbeit als Kleiderverkäuferin sei sie nicht mehr in der Lage gewesen, die schweren Kleiderpacken zu heben, weshalb die Umschulung zur Fitnessinstruktorin erfolgt sei. Die Vorinstanz hat bei dieser Sachlage korrekt festgestellt, dass die Invalidität der Beschwerdeführerin sachlich und zeitlich eng mit den vor Beginn des Vorsorgeverhältnisses bei der Stiftung bestehenden Arbeitsunfähigkeiten zusammenhängt, was ebenfalls zur Verneinung der Leistungspflicht führt. Es wird auf die einlässliche und überzeugende Begründung im vorinstanzlichen Entscheid verwiesen, bei der es sein Bewenden haben muss. Sämtliche im letztinstanzlichen Verfahren erhobenen Einwände und aufgelegten Akten vermögen zu keinem anderen Ergebnis zu führen.</w:t>
      </w:r>
    </w:p>
    <w:p>
      <w:r>
        <w:rPr>
          <w:b/>
        </w:rPr>
        <w:t>E. 6.2</w:t>
      </w:r>
    </w:p>
    <w:p>
      <w:r>
        <w:t>Ob eine frühere Vorsorgeeinrichtung ins Recht gefasst werden kann, bildet nicht Gegenstand des kantonalen Entscheides und ist deshalb nicht zu prüfen.</w:t>
      </w:r>
    </w:p>
    <w:p>
      <w:r>
        <w:rPr>
          <w:b/>
        </w:rPr>
        <w:t>E. 7</w:t>
      </w:r>
    </w:p>
    <w:p>
      <w:r>
        <w:t>Das Verfahren ist kostenlos ( Art. 134 OG ). Eine Parteientschädigung wird nicht zugesprochen, weil die obsiegende Beschwerdegegnerin eine öffentlich-rechtliche Aufgabe im Sinne von Art. 159 Abs. 2 OG wahrnimmt und die Voraussetzungen für eine ausnahmsweise Zusprechung einer Entschädigung nicht gegeben sind ( BGE 128 V 133 Erw. 5b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