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84/01 vom 13. Februar 2002</w:t>
      </w:r>
    </w:p>
    <w:p>
      <w:r>
        <w:t>Bundesgericht, 2002-02-13, DE</w:t>
      </w:r>
    </w:p>
    <w:p>
      <w:r>
        <w:rPr>
          <w:b/>
        </w:rPr>
        <w:t xml:space="preserve">Quelle: </w:t>
      </w:r>
      <w:r>
        <w:t>https://mcp.opencaselaw.ch/entscheid/bger_B_84_01</w:t>
      </w:r>
    </w:p>
    <w:p>
      <w:r>
        <w:t>FR: TF B 84/01 du 13 février 2002</w:t>
      </w:r>
    </w:p>
    <w:p>
      <w:r>
        <w:t>IT: TF B 84/01 del 13 febbraio 2002</w:t>
      </w:r>
    </w:p>
    <w:p>
      <w:pPr>
        <w:pStyle w:val="Heading2"/>
      </w:pPr>
      <w:r>
        <w:t>Regeste</w:t>
      </w:r>
    </w:p>
    <w:p>
      <w:r>
        <w:t>Berufliche Vorsorge</w:t>
      </w:r>
    </w:p>
    <w:p>
      <w:pPr>
        <w:pStyle w:val="Heading2"/>
      </w:pPr>
      <w:r>
        <w:t>Erwägungen</w:t>
      </w:r>
    </w:p>
    <w:p>
      <w:r>
        <w:rPr>
          <w:b/>
        </w:rPr>
        <w:t>E. 2</w:t>
      </w:r>
    </w:p>
    <w:p>
      <w:r>
        <w:t>Die Vorinstanz hat zutreffend erkannt, dass die Rückforderung der dem Beschwerdeführer ausbezahlten Austrittsleistung im Betrag von Fr. 75'543. 65 zuzüglich 5 % Zins seit 14. Mai 1998 rechtmässig ist. Es kann auf die überzeugenden Erwägungen der Vorinstanz verwiesen werden ( Art. 36a Abs. 3 OG ), die ein umfassendes und sorgfältig begründetes Urteil gefällt hat. In der Verwaltungsgerichtsbeschwerde wird nichts vorgebracht, was zu einer anderen Beurteilung führen könnte. Soweit der Beschwerdeführer geltend macht, das Malergeschäft X.________ AG habe schon ab 1988 Vorsorgeversicherungen abgeschlossen und die entsprechenden Gutschriften seien der Bâloise gutgeschrieben worden, kann er daraus nichts zu seinen Gunsten ableiten, zumal der von ihm aufgelegte Vorsorge-Ausweis vom 24. Juni 1988 von der Versicherung Z.________ ausgestellt wurde und nicht ihn, sondern M.________ betrifft. Unbehelflich ist auch sein Einwand, dem sechzigjährigen N.________, dem seit x Jahren BVG-Prämien abgerechnet worden seien, seien nur Fr. 72'000.- gutgeschrieben worden.</w:t>
      </w:r>
    </w:p>
    <w:p>
      <w:r>
        <w:rPr>
          <w:b/>
        </w:rPr>
        <w:t>E. 3</w:t>
      </w:r>
    </w:p>
    <w:p>
      <w:r>
        <w:t>Da die Verwaltungsgerichtsbeschwerde offensichtlich unbegründet ist, wird sie im Verfahren nach Art. 36a OG erledigt.</w:t>
      </w:r>
    </w:p>
    <w:p>
      <w:r>
        <w:rPr>
          <w:b/>
        </w:rPr>
        <w:t>E. 4</w:t>
      </w:r>
    </w:p>
    <w:p>
      <w:r>
        <w:t>Aus den Erwägungen der Vorinstanz ergibt sich, dass die Behauptung des Versicherten, er habe Anspruch auf die fragliche Austrittsleistung, offensichtlich nicht mit den Tatsachen übereinstimmt. Entsprechend durfte das kantonale Gericht sein Verhalten als mutwillig bezeichnen und die auch in masslicher Hinsicht nicht zu beanstandenden Verfahrenskosten sowie die Parteientschädigung aussprechen ( BGE 126 V 149 Erw. 3a, 150 Erw. 4b, 124 V 287 Erw. 3b).</w:t>
      </w:r>
    </w:p>
    <w:p>
      <w:r>
        <w:rPr>
          <w:b/>
        </w:rPr>
        <w:t>E. 5</w:t>
      </w:r>
    </w:p>
    <w:p>
      <w:r>
        <w:t>Da der Beschwerdeführer auch im letztinstanzlichen Verfahren vollumfänglich am vorinstanzlich vertretenen Standpunkt festhält, rechtfertigt es sich, von der Regel der Kostenfreiheit gemäss Art. 134 OG abzuweichen und ihm die Gerichtskosten zu überbinden (SZS 1999 S. 69 Erw. 6 und 7 mit Hinweisen). Demnach erkennt das Eidg. Versicherungsgericht: I.Die Verwaltungsgerichtsbeschwerde wird abgewiesen. II.Die Gerichtskosten von Fr. 3500.- werden dem Beschwerdeführer auferlegt. III. Dieses Urteil wird den Parteien, dem Versicherungsgericht des Kantons Aargau und dem Bundesamt für Sozialversicherung zugestellt. Luzern, 13.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