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82/01 vom 19. März 2002</w:t>
      </w:r>
    </w:p>
    <w:p>
      <w:r>
        <w:t>Bundesgericht, 2002-03-19, FR</w:t>
      </w:r>
    </w:p>
    <w:p>
      <w:r>
        <w:rPr>
          <w:b/>
        </w:rPr>
        <w:t xml:space="preserve">Quelle: </w:t>
      </w:r>
      <w:r>
        <w:t>https://mcp.opencaselaw.ch/entscheid/bger_B_82_01</w:t>
      </w:r>
    </w:p>
    <w:p>
      <w:r>
        <w:t>FR: TF B 82/01 du 19 mars 2002</w:t>
      </w:r>
    </w:p>
    <w:p>
      <w:r>
        <w:t>IT: TF B 82/01 del 19 marzo 2002</w:t>
      </w:r>
    </w:p>
    <w:p>
      <w:pPr>
        <w:pStyle w:val="Heading2"/>
      </w:pPr>
      <w:r>
        <w:t>Regeste</w:t>
      </w:r>
    </w:p>
    <w:p>
      <w:r>
        <w:t>Prévoyance professionnelle</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(RSAS 2001 p. 485 et les arrêts cités); le recours de droit administratif est recevable de ce chef. b) En instance fédérale, le litige ne porte plus que sur la demande de la recourante d'un remboursement de 9287 fr. 80 correspondant à la part surobligatoire versée jusqu'en mai 1997, ainsi que sur la question de la compensation.</w:t>
      </w:r>
    </w:p>
    <w:p>
      <w:r>
        <w:rPr>
          <w:b/>
        </w:rPr>
        <w:t>E. 2</w:t>
      </w:r>
    </w:p>
    <w:p>
      <w:r>
        <w:t>Selon la jurisprudence, l'obligation de restituer l'indu se fonde en premier lieu sur les dispositions des lois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Jusqu'à ce jour, la question a été laissée indécise de savoir s'il y avait lieu de faire application de l' art. 47 LAVS , considéré comme l'expression d'un principe de portée générale, ou s'il convenait d'appliquer les règles du CO, aucune des solutions n'étant totalement satisfaisante (cf. ATF 115 V 118 consid. 3b; Roman Schnyder, Das nichtstreitige Verfahren in Versicherungsfällen der obligatorischen und der erweiterten beruflichen Vorsorge, thèse Bâle 1995, p. 170 sv.). Dans le cas d'espèce, cette question peut demeurer ouverte dès lors que le litige ne porte pas, en instance fédérale, sur la restitution de prestations de la prévoyance professionnelle obligatoire.</w:t>
      </w:r>
    </w:p>
    <w:p>
      <w:r>
        <w:rPr>
          <w:b/>
        </w:rPr>
        <w:t>E. 3</w:t>
      </w:r>
    </w:p>
    <w:p>
      <w:r>
        <w:t>a) Dans le domaine de la prévoyance qui excède le minimum obligatoire (dite prévoyance pré-obligatoire, sous-obligatoire et sur-obligatoire) ou, en d'autres termes,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L'on ne pourrait ainsi invoquer une règle générale ( art. 63 al. 1 CO ou art. 47 al. 1 LAVS ) sur la restitution qu'en l'absence d'une norme statutaire ou réglementaire topique ( ATF 115 V 119 consid. 3c et les références citées; RSAS 1999 p. 384). A défaut de norme statutaire ou réglementaire, peuvent s'appliquer les dispositions générales du CO, dès lors que les contrats innommés tels le contrat de prévoyance sont soumis à la partie générale du CO ( ATF 122 V 144 consid. 3; Walser, Weitergehende berufliche Vorsorge, in : Schweizerisches Bundesverwaltungsrecht [SBVR], Soziale Sicherheit, n° 172, p. 62; Schluep, Innominatverträge in : SPR VII/2 p. 780 sv.). Il en va ainsi des règles sur l'enrichissement illégitime (art. 62 sv. CO) lorsque des prestations ont été indûment payées, cela en raison des relations de nature contractuelle entre l'institution de prévoyance et l'ensemble des employés affiliés (cf. Roman Schnyder, op. cit. , p. 174; Meyer-Blaser, Die Rückerstattung von Sozialversicherungsleistungen, in : RJB 1995 p. 497). b) Dans le cas particulier, la recourante a versé à tout le moins jusqu'en mai 1997, au titre de la prévoyance professionnelle plus étendue, un montant indu de 9287 fr. 80, montant conforme au demeurant aux pièces du dossier et non contesté. Or ces paiements résultaient d'une erreur de la recourante qui, jusqu'à sa lettre du 29 mars 1999, n'avait pas pris en compte le cumul des prestations au sens de l'art. 23 de son règlement. Il s'ensuit que les conditions d'une répétition de l'indu sont données dès lors que la créance n'est pas prescrite. Pour ce premier motif, le jugement doit être annulé.</w:t>
      </w:r>
    </w:p>
    <w:p>
      <w:r>
        <w:rPr>
          <w:b/>
        </w:rPr>
        <w:t>E. 4</w:t>
      </w:r>
    </w:p>
    <w:p>
      <w:r>
        <w:t>Reste à examiner si la recourante est en droit de compenser la créance en restitution de l'indu avec les rentes échues. a) En droit des assurances sociales, notamment, la compensation est un principe juridique (Rüedi, Allgemeine Rechtsgrundsätze des Sozialversicherungsprozesses, p. 454 et note n° 16, in : Walter R. Schluep et al., "Recht, Staat und Politik am Ende des zweiten Jahrtausends", Festschrift zum 60. Geburtstag von Bundesrat Arnold Koller, Bern, 1993). Certaines lois spéciales règlent du reste la compensation des créances (ex: art. 20 al. 2 LAVS [ ATF 115 V 342 sv. consid. 2b], art. 50 LAI , art. 50 al. 3 LAA ). En l'absence d'une réglementation particulière, le principe de la compensation des créances de droit public est admis comme règle générale ( ATF 111 Ib 158 consid. 3; Knapp, Précis de droit administratif, 1991, n° 738 p. 162). Dans ce cas, les dispositions du CO qui en fixent les conditions sont applicables par analogie (art. 120 ss. CO; VSI 1994 p. 217 consid. 3). Toutefois, en raison de la nature des créances qui sont en jeu et par référence à l' art. 125 ch. 2 CO , une créance d'une institution de sécurité sociale ne peut être compensée avec une prestation due à un assuré, si de ce fait les ressources de celui-ci descendent au-dessous du minimum vital ( ATF 115 V 343 consid. 2c; RSAS 2000 p. 544; RAMA 1997 n° U 268 p. 39 consid. 3; Moor, Droit administratif, vol II [Les actes administratifs et leur contrôle], n° 1.3.3, p. 57 ss. et les réf.). b) L'adhésion de l'intimée aux conclusions de la recourante ne saurait être interprétée dans le sens que les conditions de la compensation, rappelées ci-dessus, sont réunies. Par ailleurs, comme le dossier ne permet pas de statuer sur cette question, un renvoi à la juridiction cantonale s'avère nécessaire pour que celle-ci examine les conditions de la compensation entre le montant à restituer (9287 fr. 80) et celui des rentes dont le paiement a été provisoirement suspendu. Dans le cadre de son analyse, la cour cantonale vouera une attention particulière à la question des ressources et du minimum vital de l'assurée au moment déterminant.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