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68/99 vom 30. August 2000</w:t>
      </w:r>
    </w:p>
    <w:p>
      <w:r>
        <w:t>Bundesgericht, 2000-08-30, FR</w:t>
      </w:r>
    </w:p>
    <w:p>
      <w:r>
        <w:rPr>
          <w:b/>
        </w:rPr>
        <w:t xml:space="preserve">Quelle: </w:t>
      </w:r>
      <w:r>
        <w:t>https://mcp.opencaselaw.ch/entscheid/bger_B_68_99</w:t>
      </w:r>
    </w:p>
    <w:p>
      <w:r>
        <w:t>FR: TF B 68/99 du 30 août 2000</w:t>
      </w:r>
    </w:p>
    <w:p>
      <w:r>
        <w:t>IT: TF B 68/99 del 30 agosto 2000</w:t>
      </w:r>
    </w:p>
    <w:p>
      <w:pPr>
        <w:pStyle w:val="Heading2"/>
      </w:pPr>
      <w:r>
        <w:t>Regeste</w:t>
      </w:r>
    </w:p>
    <w:p>
      <w:r>
        <w:t>Prévoyance professionnelle</w:t>
      </w:r>
    </w:p>
    <w:p>
      <w:pPr>
        <w:pStyle w:val="Heading2"/>
      </w:pPr>
      <w:r>
        <w:t>Erwägungen</w:t>
      </w:r>
    </w:p>
    <w:p>
      <w:r>
        <w:rPr>
          <w:b/>
        </w:rPr>
        <w:t>E. 2</w:t>
      </w:r>
    </w:p>
    <w:p>
      <w:r>
        <w:t>Les CFF remboursent à la caisse de pensions la réserve mathématique manquante dans les cas cités au premier alinéa. Les premiers juges considèrent que le licenciement de l'assuré est dû à sa faute, au sens de cette disposition. En effet, au moment où il a rempli le questionnaire en vue de son engagement au service des CFF, il ne pouvait passer sous silence le fait qu'il souffrait alors d'une affection psychique, pour laquelle il avait été traité par un psychologue. La résiliation des rapports de service est donc imputable à faute. En application de l'art. 43 des statuts, l'institution était ainsi fondée à refuser d'allouer les prestations d'invalidité réglementaires. d) C'est à tort, cependant, que les premiers juges se sont placés sur le terrain de l'art. 43 des statuts. En effet, cette disposition est applicable aux prestations en cas de résiliation administrative des rapports de travail. Elle ne suppose pas une invalidité de l'ayant droit et est applicable par exemple en cas de suppression de poste ou de non-réélection, quand l'assuré a plus de 50 ans et compte une duréeininterrompued'affiliationàlacaissede19annéesaumoins(ATF124V327; PETERHAENNI, PersonalrechtdesBundesin : Schweizerisches Bundesverwaltungsrecht [SBVR], Organisationsrecht, ch. 76; voir aussi ATF 118 V 255 ). C'est la raison pour laquelle, d'ailleurs, l'employeur rembourse à la caisse de pensions la réserve mathématique manquante, conformément à l'art. 43 al. 3 des statuts (cf. le message relatif à l'ordonnance concernant la Caisse fédérale de pensions et aux statuts de la Caisse de pensions et de secours des Chemins de fer fédéraux du 24 août 1994, FF 1994 V 320). La référence à l'art. 43 des statuts est d'autant moins pertinente en l'espèce que le recourant ne remplit aucune des deux conditions - cumulatives - prévues sous let. b et c de l'alinéa premier de cette disposition (19 années de cotisations et limite d'âge de 50 ans). Il n'y a dès lors pas lieu de se demander si le licenciement de l'assuré est ou non fautif au sens de cette norme statutaire.</w:t>
      </w:r>
    </w:p>
    <w:p>
      <w:r>
        <w:rPr>
          <w:b/>
        </w:rPr>
        <w:t>E. 3</w:t>
      </w:r>
    </w:p>
    <w:p>
      <w:r>
        <w:t>Il est constant que le recourant est invalide, raison pour laquelle la caisse intimée lui a alloué une rente d'un montant limité au minimum légal selon la LPP. Ce qui est donc litigieux, en l'espèce, ce sont des prestations d'invalidité au sens des art. 38 à 40 des statuts. Et, en réalité, le reproche adressé à l'assuré tant par l'employeur que par l'intimée est d'avoir commis une réticence au moment où il a répondu au questionnaire destiné au service médical des CFF. Cela ressort clairement de la décision de résiliation des rapports de service du 26 septembre 1997 et de la décision sur recours de la direction générale des CFF du 18 décembre 1997, décisions sur la base desquelles la caisse fonde son refus d'allouer les prestations litigieuses. a) Dans le domaine de la prévoyance plus étendue, les institutions de prévoyance ont la possibilité d'instituer des réserves, limitées ou non dans le temps, pour les risques accrus que l'assuré fait courir à l'institution en raison de son état de santé ( ATF 119 V 284 consid. 2a et les références citées). D'après la jurisprudence, est déterminant le droit applicable lors de la commission prétendue d'une réticence, et non pas lors de la découverte de celle-ci (arrêt non publié Q. du 20 avril 2000 [B 46/99]). Dans leur version du 10 mars 1987, en vigueur jusqu'au 31 décembre 1994, les statuts de l'intimée prévoyaient, à l'art. 6 al. 1, que les salariés en instance d'admission, de même que les assurés, étaient tenus de renseigner exactement les organes de la caisse de pensions sur tout ce qui avait trait à leurs relations avec la caisse et de fournir toutes les pièces justificatives requises (cette règle a été reprise à l'art. 7 al. 1 des statuts du 18 août 1994). On peut en déduire que l'intimée, par cette disposition, a fait usage de la possibilité d'instituer des réserves pour la part des prestations qui excède les prestations légales obligatoires. C'est notamment dans ce but, d'ailleurs, que les futurs employés sont invités à remplir un questionnaire médical. Pour juger si un assuré a commis ou non une réticence, on applique, en l'absence de dispositions statutaires ou réglementaires idoines, les règles des art. 4 ss LCA ( ATF 119 V 286 consid. 4, 116 V 218; RSAS 2000 p. 62 consid. 3a). Hormis la règle susmentionnée sur le devoir de renseigner, les statuts de l'intimée ne contiennent pas de disposition à ce sujet. 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Il s'agit d'un délai de péremption. La résolution peut intervenir après la survenance du sinistre ( ATF 118 II 338 consid. 3 in initio et les références citées). b) Le délai de quatre semaines de l' art. 6 LCA ne commence à courir que lorsque l'assureur est complètement orienté sur tous les points concernant la réticence et qu'il en a une connaissance effective complète, un simple doute à cet égard étant insuffisant ( ATF 118 II 338 consid. 3, 116 V 229 consid. 6a). En l'espèce, il y a lieu de constater que le droit de l'intimée d'invoquer la réticence était périmé lorsqu'elle a notifié au recourant la communication de rente du 28 mars 1998, qui pourrait à la rigueur être interprétée comme une dénonciation implicite du contrat de prévoyance. En effet, tous les griefs formulés par l'employeur et tirés d'une réticence du recourant étaient abondamment exposés dans la décision de résiliation des rapports de service du 26 septembre 1997, dont la caisse de pensions a reçu une copie. Il n'est ainsi pas nécessaire de se demander si le recourant a ou non commis une telle réticence au sens de l' art. 6 LCA .</w:t>
      </w:r>
    </w:p>
    <w:p>
      <w:r>
        <w:rPr>
          <w:b/>
        </w:rPr>
        <w:t>E. 4</w:t>
      </w:r>
    </w:p>
    <w:p>
      <w:r>
        <w:t>Pour le reste, on ne voit pas pour quels motifs valables l'intimée serait en droit de limiter le versement de ses prestations au minimum obligatoire selon la LPP. Certes, l'art. 38 al. 1 des statuts subordonne le versement des prestations à la condition que les rapports de travail aient été résiliés par l'employeur en raison de l'invalidité; or, l'employeur a en l'occurrence invoqué d'autres motifs. Mais, à juste titre, la caisse ne se prévaut pas de cette clause. En effet, on peut supposer que la résiliation des rapports de service serait de toute façon intervenue en raison de l'incapacité durable du recourant de reprendre son activité professionnelle. De plus, si l'on excluait le droit aux prestations au motif que la résiliation est due à une "faute" du recourant, qui consisterait en une réticence, cela reviendrait à contourner les dispositions de la LCA à ce propos, en rendant en particulier inopérant le délai de quatre semaines prévu par l' art. 6 LCA . Enfin, on rappellera que sous l'empire de la prévoyance pré-obligatoire déjà, le Tribunal fédéral a jugé qu'une clause statutaire de la Caisse fédérale d'assurance (CFA) analogue à celle de l'art. 38 al. 1 susmentionné ne devait pas être prise au pied de la lettre. En effet, conformément aux principes généraux, il suffit, pour que l'assuré bénéficie de la couverture du risque d'invalidité, que l'incapacité de travail (à l'origine de l'invalidité) ait débuté pendant que le fonctionnaire appartenait encore à l'institution d'assurance. Au reste, une application littérale des statuts donnerait en fait à l'employeur le pouvoir de décider du droit de l'assuré invalide à une rente, en fonction du motif de résiliation qu'il pourrait être amené à invoquer ( ATF 101 Ib 359 consid. 5). Aussi bien le Tribunal fédéral a-t-il, dans ce même arrêt, reconnu le droit à une rente d'invalidité en faveur d'un fonctionnaire fédéral qui avait résilié ses rapports de service et qui, pendant le délai de résiliation, avait été frappé de maladie qui l'avait rendu invalide au sens des statuts de la CFA; peu importait, à cet égard, que l'employeur n'eût pas résilié les rapports de service pour cause d'invalidité. C'est pourquoi le fait que l'employeur a en l'occurrence invoqué des raisons étrangères à l'invalidité à l'appui de sa décision de mettre fin aux rapports de service ne s'oppose pas au versement des prestations en cause.</w:t>
      </w:r>
    </w:p>
    <w:p>
      <w:r>
        <w:rPr>
          <w:b/>
        </w:rPr>
        <w:t>E. 5</w:t>
      </w:r>
    </w:p>
    <w:p>
      <w:r>
        <w:t>En conséquence, il convient d'annuler le jugement attaqué et de renvoyer la cause à la juridiction cantonale pour qu'elle reprenne l'instruction du cas et fixe le montant des prestations de la prévoyance plus étendue auxquels peut prétendre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