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60/01 vom 28. Juni 2002</w:t>
      </w:r>
    </w:p>
    <w:p>
      <w:r>
        <w:t>Bundesgericht, 2002-06-28, DE</w:t>
      </w:r>
    </w:p>
    <w:p>
      <w:r>
        <w:rPr>
          <w:b/>
        </w:rPr>
        <w:t xml:space="preserve">Quelle: </w:t>
      </w:r>
      <w:r>
        <w:t>https://mcp.opencaselaw.ch/entscheid/bger_B_60_01</w:t>
      </w:r>
    </w:p>
    <w:p>
      <w:r>
        <w:t>FR: TF B 60/01 du 28 juin 2002</w:t>
      </w:r>
    </w:p>
    <w:p>
      <w:r>
        <w:t>IT: TF B 60/01 del 28 giugno 2002</w:t>
      </w:r>
    </w:p>
    <w:p>
      <w:pPr>
        <w:pStyle w:val="Heading2"/>
      </w:pPr>
      <w:r>
        <w:t>Regeste</w:t>
      </w:r>
    </w:p>
    <w:p>
      <w:r>
        <w:t>Berufliche Vorsorge</w:t>
      </w:r>
    </w:p>
    <w:p>
      <w:pPr>
        <w:pStyle w:val="Heading2"/>
      </w:pPr>
      <w:r>
        <w:t>Erwägungen</w:t>
      </w:r>
    </w:p>
    <w:p>
      <w:r>
        <w:rPr>
          <w:b/>
        </w:rPr>
        <w:t>E. 1</w:t>
      </w:r>
    </w:p>
    <w:p>
      <w:r>
        <w:t>November 1999 die Hinterlassenenleistungen aus der obligatorischen beruflichen Vorsorge zu erbringen, unangefochten geblieben. Streitig und zu prüfen ist, ob das kantonale Gericht den Anspruch auf Hinterlassenenleistungen aus der weitergehenden beruflichen Vorsorge zu Recht wegen einer Anzeigepflichtverletzung des verstorbenen Versicherten verneint hat.</w:t>
      </w:r>
    </w:p>
    <w:p>
      <w:r>
        <w:rPr>
          <w:b/>
        </w:rPr>
        <w:t>E. 2</w:t>
      </w:r>
    </w:p>
    <w:p>
      <w:r>
        <w:t>Die Vorinstanz hat unter Hinweis auf die Rechtsprechung ( BGE 119 V 286 Erw. 4) zutreffend dargelegt, dass sich die Verletzung der Anzeigepflicht und deren Folgen in der weitergehenden beruflichen Vorsorge grundsätzlich nach den statutarischen und reglementarischen Bestimmungen der Vorsorgeeinrichtung beurteilen. Ferner hat sie die massgebende Bestimmung des ab 1. Januar 1995 gültigen Vorsorgereglements der Sarasura betreffend Anzeigepflichtverletzung (Art. 9 Ziff. 2) sowie die Rechtsprechung zum Umfang der den Versicherten obliegenden Anzeigepflicht ( BGE 116 V 226 Erw. 5a) richtig wiedergegeben. Darauf kann verwiesen werden.</w:t>
      </w:r>
    </w:p>
    <w:p>
      <w:r>
        <w:rPr>
          <w:b/>
        </w:rPr>
        <w:t>E. 3</w:t>
      </w:r>
    </w:p>
    <w:p>
      <w:r>
        <w:t>a) Das kantonale Gericht hat festgehalten, dass der Verstorbene zweimal wegen Halsbeschwerden seinen Hausarzt Dr. med. O.________ aufgesucht habe. Kurze Zeit nach der zweiten Konsultation vom 25. April 1997, als Dr. O.________ eine "eitrige Pharyngitis" diagnostizierte, habe der Verstorbene am 13. Mai 1997 "wegen wiederholtem Hals- und Schluckweh, Hypogeusie, Druckgefühl im Hals und pelziger Zunge" Dr. med. D.________, Spezialarzt für Hals-, Nasen- und Ohrenkrankheiten, aufgesucht; wegen ausgeprägter Hyperreflexe habe sich keine genügende Hypopharynx-Exploration ausführen lassen. Gemäss Angaben des Arztes habe sich der vielbeschäftigte Patient nicht zu einer endoskopischen Exploration bewegen lassen. Im September und November 1997 sei der Verstorbene telefonisch an Dr. D.________ gelangt, welcher dann die Überweisung an das Spital Y.________ veranlasste, wo schliesslich das Krebsleiden festgestellt wurde. Die Arztbesuche bei Dr. O.________ und Dr. D.________ im April und Mai 1997 hätte der Verstorbene nach Auffassung der Vorinstanz auf dem am 1. September 1997 ausgefüllten Fragebogen erwähnen müssen. Sein Gang zum Spezialarzt zeige, dass er offensichtlich wegen seiner Halsbeschwerden beunruhigt war. Die Empfehlung des Spezialisten Dr. med. D.________, sich einer endoskopischen Abklärung zu unterziehen, hätte den verstorbenen Versicherten darauf aufmerksam machen müssen, dass es sich bei seiner Erkrankung möglicherweise nicht um eine alltägliche Halsentzündung handelte, die als belanglose vorübergehende Beeinträchtigung des Wohlbefindens nicht hätte deklariert werden müssen. Vielmehr wäre er verpflichtet gewesen, die Halsbeschwerden und die entsprechenden Arztbesuche sowie die eingenommenen Medikamente in der Gesundheitserklärung anzugeben. b) Diesen Erwägungen ist beizupflichten. Was in der Verwaltungsgerichtsbeschwerde hiegegen vorgebracht wird, ist nicht stichhaltig: Die Beschwerdeführer machen geltend, Frage 2 ("Waren Sie bei Versicherungsbeginn in ärztlicher Kontrolle oder Behandlung?") und Frage 3 ("Nehmen Sie zur Zeit Medikamente ein oder wurden Ihnen solche verschrieben?") des Fragebogens über den Gesundheitszustand hätten sich auf den Zeitpunkt des Versicherungsbeginns bezogen und seien vom Verstorbenen korrekt beantwortet worden. Wie es sich damit verhält, ist nicht von entscheidender Bedeutung. Wichtig ist, dass der verstorbene Versicherte die Frage 4 der Gesundheitsdeklaration ("Waren Sie in den letzten zwei Jahren krank, verunfallt oder wurden Sie operiert?") hätte bejahen und bei der daran anknüpfenden Frage nach der Art der Krankheit wahrheitsgemäss auf die Halsbeschwerden hinweisen müssen. Entgegen den Vorbringen der Beschwerdeführer bestimmt der Patient und nicht der Arzt, ob eine Untersuchung oder Behandlung durchgeführt werden soll oder nicht. Aus dem Umstand, dass Dr. med. D.________ "nicht mit Nachdruck auf der Vornahme weiterer Abklärungen beharrte" - wobei sich den Akten keine Anhaltspunkte entnehmen lassen, ob der Arzt den Verstorbenen nicht doch eindringlich zur Vornahme näherer Untersuchungen aufforderte - kann daher nicht geschlossen werden, der Versicherte habe in guten Treuen annehmen dürfen, es handle sich um eine belanglose vorübergehende Beeinträchtigung des körperlichen Wohlbefindens. Solches verbietet sich, wie die Vorinstanz richtig erwogen hat, schon deshalb, weil der Verstorbene unmittelbar nach der letzten Kontaktnahme zur Praxis seines Hausarztes, sei es auf dessen Anraten oder von sich aus, den Spezialarzt Dr. D.________ aufgesucht und von diesem keineswegs einen Befund erhalten hat, der ihn zur Annahme eben einer solchen vorübergehenden Beeinträchtigung des Wohlbefindens hätte veranlassen können. Im Gegenteil: Der Spezialist schlug ihm eingehendere Untersuchungen vor. c) Die Sarasura war gemäss Art. 9 Ziff. 2 ihres Vorsorgereglements berechtigt, innert sechs Monaten seit Bekanntwerden der Anzeigepflichtverletzung die Todesfallleistungen auf die gesetzlichen Mindestleistungen herabzusetzen. Von dieser Befugnis hat sie mit Schreiben vom 30. Dezember 1999 innert Frist Gebrauch gemacht. Der angefochtene Entscheid erweist sich damit als rechtens.</w:t>
      </w:r>
    </w:p>
    <w:p>
      <w:r>
        <w:rPr>
          <w:b/>
        </w:rPr>
        <w:t>E. 4</w:t>
      </w:r>
    </w:p>
    <w:p>
      <w:r>
        <w:t>Die Beschwerdeführer beantragen, es sei ihnen auf den Hinterlassenenrenten ab 5. Juni 2000 ein Zins von 5 % zuzusprechen. Gemäss BGE 119 V 135 Erw. 4c haben die Vorsorgeeinrichtungen auf den Renten ab jenem Zeitpunkt Verzugszins zu bezahlen, da der Gläubiger die Betreibung angehoben oder gerichtliche Klage eingereicht hat ( Art. 105 OR ), und der Verzugszins beträgt 5 %, insofern das Reglement der Vorsorgeeinrichtung keine andere Regelung kennt. Die Sarasura hat demnach die jeweils fälligen Rentenbetreffnisse ab dem Zeitpunkt der Klageeinreichung (5. Juni 2000) bis zum Zeitpunkt der Eröffnung des vorliegenden Urteils (SZS 1997 S. 470 Erw. 4) mit 5 % zu verzinsen.</w:t>
      </w:r>
    </w:p>
    <w:p>
      <w:r>
        <w:rPr>
          <w:b/>
        </w:rPr>
        <w:t>E. 5</w:t>
      </w:r>
    </w:p>
    <w:p>
      <w:r>
        <w:t>Juni 2000 einen Zins von 5 % zu bezahlen. Im Übrigen wird die Verwaltungsgerichtsbeschwerde abgewiesen. II.Es werden keine Gerichtskosten erhoben, und es werden keine Parteientschädigungen zugesprochen. III. Dieses Urteil wird den Parteien, dem Sozialversicherungsgericht Basel-Stadt und dem Bundesamt für Sozialversicherung zugestellt. Luzern, 28. Juni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