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5/07 vom 19. September 2007</w:t>
      </w:r>
    </w:p>
    <w:p>
      <w:r>
        <w:t>Bundesgericht, 2007-09-19, DE</w:t>
      </w:r>
    </w:p>
    <w:p>
      <w:r>
        <w:rPr>
          <w:b/>
        </w:rPr>
        <w:t xml:space="preserve">Quelle: </w:t>
      </w:r>
      <w:r>
        <w:t>https://mcp.opencaselaw.ch/entscheid/bger_B_5_07</w:t>
      </w:r>
    </w:p>
    <w:p>
      <w:r>
        <w:t>FR: TF B 5/07 du 19 septembre 2007</w:t>
      </w:r>
    </w:p>
    <w:p>
      <w:r>
        <w:t>IT: TF B 5/07 del 19 settembre 2007</w:t>
      </w:r>
    </w:p>
    <w:p>
      <w:pPr>
        <w:pStyle w:val="Heading2"/>
      </w:pPr>
      <w:r>
        <w:t>Regeste</w:t>
      </w:r>
    </w:p>
    <w:p>
      <w:r>
        <w:t>Berufliche Vorsorge | Berufliche Vorsorge</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Beim Prozess um Austrittsleistungen (Entstehung, Höhe, Erfüllung usw.) handelt es sich um einen Streit um Versicherungsleistungen, weshalb sich die Überprüfungsbefugnis des Bundesgerichts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Sachverhaltes gebunden und kann über die Begehren der Parteien zu deren Gunsten oder Ungunsten hinausgehen. Ferner ist das Verfahren regelmässig kostenlos ( Art. 134 OG ; BGE 129 V 251 E. 1.2 S. 254). Diese Kognitions- und Verfahrensgrundsätze gelten auch, wenn - wie hier - der Anteil an freien Mitteln und deren Verwendung zwischen den Versicherten und der Vorsorgeeinrichtung im Streit liegt (Urteil R. vom 19. April 2005, B 115/04, E. 2).</w:t>
      </w:r>
    </w:p>
    <w:p>
      <w:r>
        <w:rPr>
          <w:b/>
        </w:rPr>
        <w:t>E. 3.1</w:t>
      </w:r>
    </w:p>
    <w:p>
      <w:r>
        <w:t>Es steht fest, dass die Auszahlung der streitigen transition benefits an die Versicherten zu Lasten der im Vermögen der PK Y.________ vorhandenen freien Stiftungsmittel erfolgte. Die Beschwerdegegnerin hat zu diesem Zweck in der Jahresrechnung 2002 Fr. 33'090'000.- (Rückstellung Transition Credit Aktive) und Fr. 1'244'080.- (Rückstellung Transition Credit Ausgetretene) zurückgestellt und allein in jenem Geschäftsjahr vom freien Stiftungskapital von Fr. 40'329'653.30 einen Anteil von Fr. 18'565'422.61 aufgelöst. Streitig und zu prüfen ist, ob und wie viele transition benefits dem Beschwerdeführer auch für die Zeit nach Beendigung seines Arbeitsverhältnisses bei der Bank X.________ per 28. Februar 2003 zustehen.</w:t>
      </w:r>
    </w:p>
    <w:p>
      <w:r>
        <w:rPr>
          <w:b/>
        </w:rPr>
        <w:t>E. 3.2</w:t>
      </w:r>
    </w:p>
    <w:p>
      <w:r>
        <w:t>Das kantonale Gericht ist zutreffend davon ausgegangen, dass diese Streitfrage mangels einer gesetzlichen Regelung im BVG und im FZG nach dem am 1. Oktober 2002 in Kraft getretenen Reglement vom 23. Mai 2002 zu beurteilen ist, dieses aber diesbezüglich keine Regelung enthält. Ferner hat die Vorinstanz erwogen, dass der Beschwerdeführer gestützt auf das den Versicherten ausgehändigte (nicht datierte) Informationsdokument "pension plan for ...group companies in Switzerland understanding your plan" und die ihnen anlässlich der mündlichen Erläuterung präsentierten Folien "jedenfalls anfänglich" habe damit rechnen dürfen, trotz des auf den 28. Februar 2003 gekündigten Arbeitsverhältnisses alle 24 transition benefits zu erhalten. Die Verhältnisse hätten sich aber im Mai 2003 mit dem Erlass des Anhanges vom 23. Mai 2003 zum Reglement vom 23. Mai 2002 streitentscheidend geändert, weil damit klargestellt worden sei, dass auch den von der Arbeitgeberfirma entlassenen Versicherten keine weiteren transition benefits mehr zustehen. Mit der damit vom Stiftungsrat getroffenen Reglementsergänzung seien keine Schutzbestimmungen (Rechtsgleichheit, Willkürverbot, Vertrauensprinzip) verletzt worden, weshalb dem Kläger nur drei zusätzliche transition benefits für die Monate März, April und Mai 2003 zustünden.</w:t>
      </w:r>
    </w:p>
    <w:p>
      <w:r>
        <w:rPr>
          <w:b/>
        </w:rPr>
        <w:t>E. 3.3</w:t>
      </w:r>
    </w:p>
    <w:p>
      <w:r>
        <w:t>Das kantonale Gericht hat nicht beachtet, dass mit der Beendigung des Arbeitsverhältnisses per 28. Februar 2003 auch das Vorsorgeverhältnis zwischen dem Beschwerdeführer und der PK Y.________ beendet wurde ( Art. 10 Abs. 2 BVG in der bis 31. Dezember 2004 gültig gewesenen Fassung für den obligatorischen Bereich/ Art. 331a Abs. 1 OR für den überobligatorischen Bereich). Die vom kantonalen Gericht als streitentscheidend eingestufte Ergänzung des Reglementes vom 23. Mai 2002 durch den vom Stiftungsrat erst ein Jahr später beschlossenen Anhang zu jenem Reglement konnte das zu diesem Zeitpunkt bereits aufgelöste Vorsorgeverhältnis mit dem Beschwerdeführer weder umgestalten noch ergänzen. Demgegenüber bedeutet die vorinstanzliche Rechtsauffassung eine rückwirkende Anwendung der vom Stiftungsrat am 23. Mai 2003 erlassenen Übergangsregelung für die während der Übergangsfrist vom 1. Oktober 2002 bis 30. September 2004 fällig gewordenen transition benefits selbst auf jene Versicherten, die bereits aus der Vorsorgeeinrichtung ausgeschieden waren. Eine solche rückwirkende Rechtsanwendung verstösst nach den intertemporalrechtlichen Rechtsgrundsätzen von Art. 1-4 SchlTZGB jedenfalls dann gegen das Verbot der Rückwirkung, wenn das neue Recht an ein Ereignis anknüpft, das sich vor dessen Inkrafttreten ereignet hat und das im Zeitpunkt des Inkrafttretens der neuen Norm abgeschlossen war ( BGE 131 III 327 E. 6 S. 333, 124 III 266 E. 4e S. 271 mit Hinweisen, 116 III 120 E. 3d S. 126; vgl. auch BGE 126 V 134 E. 4a S. 135; Markus Vischer, Basler Kommentar, N 12 und 14 zu Art. 1 SchlTZGB). Das kantonale Gericht hat die dem Verbot der echten Rückwirkung zugrunde liegende Idee des Vertrauensschutzes missachtet, wenn es einerseits festhält, der Beschwerdeführer habe nach der am 28. Februar 2003 gegebenen Rechts- und Sachlage darauf vertrauen dürfen, alle zugesicherten 24 transition benefits zu erhalten, andererseits aber die damit anerkannte Vertrauensposition mit der rückwirkenden Anwendung der erst später erlassenen Übergangsregelung auf das bereits beendigte Vorsorgeverhältnis wieder preis gibt.</w:t>
      </w:r>
    </w:p>
    <w:p>
      <w:r>
        <w:rPr>
          <w:b/>
        </w:rPr>
        <w:t>E. 4.1</w:t>
      </w:r>
    </w:p>
    <w:p>
      <w:r>
        <w:t>Das Reglement vom 23. Mai 2002 enthält keine Regelung der übergangsrechtlichen Frage, welchem rechtlichen Schicksal die transition benefits jener Versicherten unterliegen, die während der Übergangsfrist von zwei Jahren (1. Oktober 2002 - 30. September 2004) aus dem Arbeitsverhältnis mit der Bank X.________ und damit aus deren Vorsorgeeinrichtung ausscheiden. Es liegt diesbezüglich eine Reglementslücke vor. Die Lückenfüllung erfolgt bei reglementarisch vorformulierten Vorsorgeverträgen in analoger Anwendung der gesetzlichen Bestimmungen von Art. 1 Abs. 2 und 3 ZGB , welche für die richterliche Schliessung von Gesetzeslücken gelten ( BGE 129 V 145 E. 3.1 S. 148). Damit wird namentlich die analoge Anwendung von gesetzlichen Regelungen ermöglicht, welche eine Normierung der im konkreten Vorsorgevertrag offengelassenen, aber notwendigerweise zu beantwortenden Fragen enthalten (Hans Michael Riemer, Vorsorge-, Fürsorge- und Sparverträge der beruflichen Vorsorge, in: Innominatverträge, Festgabe zum 60. Geburtstag von Walter René Schluep, Zürich 1988, S. 239; Riemer/Riemer-Kafka, Das Recht der beruflichen Vorsorge in der Schweiz, 2. Aufl., Bern 2006, § 4 Rz. 19 S. 94).</w:t>
      </w:r>
    </w:p>
    <w:p>
      <w:r>
        <w:rPr>
          <w:b/>
        </w:rPr>
        <w:t>E. 4.2</w:t>
      </w:r>
    </w:p>
    <w:p>
      <w:r>
        <w:t>Die im vorliegenden Fall im Zuge der Umstellung vom Leistungs- auf das Beitragsprimat den Versicherten ausgerichteten transition benefits wurden aus den freien Stiftungsmitteln finanziert. Eine gesetzliche Regelung der freien Stiftungsmittel wurde erst mit dem am 1. Januar 1995 in Kraft getretenen FZG getroffen. Nach Art. 23 Abs. 1 FZG (in der bis 31. Dezember 2004 in Kraft gewesenen Fassung) besteht bei einer Teil- oder Gesamtliquidation neben dem Anspruch auf die Austrittsleistung ein individueller oder kollektiver Anspruch auf freie Mittel (Satz 1). Die Aufsichtsbehörde entscheidet darüber, ob die Voraussetzungen für eine Teil- oder Gesamtliquidation erfüllt sind (Satz 2). Sie genehmigt den Verteilungsplan (Satz 3).</w:t>
      </w:r>
    </w:p>
    <w:p>
      <w:r>
        <w:rPr>
          <w:b/>
        </w:rPr>
        <w:t>E. 4.2.1</w:t>
      </w:r>
    </w:p>
    <w:p>
      <w:r>
        <w:t>Diese für den Fall der Teil- oder Gesamtliquidation einer Vorsorgeeinrichtung seit 1. Januar 1995 geltende gesetzliche Regelung beruht auf den beiden schon vorher von der Rechtsprechung aus dem Grundsatz von Treu und Glauben ( Art. 2 Abs. 1 ZGB ) und der Rechtsgleichheit ( Art. 8 Abs. 1 BV / Art. 4 aBV ) abgeleiteten stiftungsrechtlichen Grundsätzen, dass das Personalvorsorgevermögen - bei grösseren Personalabgängen - den bisherigen Destinatären folgt und die Vorsorgeeinrichtungen zur Gleichbehandlung verschiedener Destinatärsgruppen verpflichtet sind. Namentlich entspricht es dem stiftungsrechtlichen Gleichbehandlungsgrundsatz, dass die geäufneten freien Mittel - soweit wie möglich und nötig - unabhängig von der Organisationsform der Vorsorgeeinrichtung periodisch umgesetzt, d.h. für jene Versicherten (aktive und passive) verwendet werden, die an deren Äufnung beteiligt waren.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 BGE 128 II 394 E. 3.2 S. 397 mit Hinweisen auf Urteile 2A.539/1997 vom 30. April 1998 und 2A.101/2000 vom 26. November 2001; 119 Ib 46 E. 4c S. 54, 110 II 436 E. 4 S. 434; SZS 1985 S. 200 E. 6).</w:t>
      </w:r>
    </w:p>
    <w:p>
      <w:r>
        <w:rPr>
          <w:b/>
        </w:rPr>
        <w:t>E. 4.2.2</w:t>
      </w:r>
    </w:p>
    <w:p>
      <w:r>
        <w:t>Zugleich hat aber die Rechtsprechung im Zusammenhang mit Teil- oder Gesamtliquidationen wiederholt entschieden, dass es den Grundsatz der Gleichbehandlung der Destinatäre nicht verletzt, wenn bei der Verteilung der freien Stiftungsmittel die freiwillig aus einer Vorsorgeeinrichtung Ausgeschiedenen nicht berücksichtigt werden. Andernfalls hätte es der Mitarbeiter, der freiwillig mehrfach den Arbeitgeber wechselt, in der Hand, jedes Mal beim Ausscheiden aus der jeweiligen Personalvorsorgestiftung Anspruch auf einen Anteil an den freien Mitteln zu erheben, womit die gesetzlichen Bestimmungen über die Freizügigkeit und die entsprechenden reglementarischen Bestimmungen ihren Sinn verlören ( BGE 128 II 394 E. 5.6 S. 403 mit Hinweis auf Urteil 2A.92/1993 vom 22. März 1995).</w:t>
      </w:r>
    </w:p>
    <w:p>
      <w:r>
        <w:rPr>
          <w:b/>
        </w:rPr>
        <w:t>E. 4.2.3</w:t>
      </w:r>
    </w:p>
    <w:p>
      <w:r>
        <w:t>Diese Grundsätze über die Verteilung freier Stiftungsmittel gelten, weil sie auf allgemeinen Rechtsgrundsätzen beruhen, nicht nur im Falle einer Teil- oder Gesamtliquidation einer Vorsorgeeinrichtung, sondern allgemein bei Ausschüttungen, und zwar gerade auch dann, wenn es um Ermessensleistungen aus allein vom Arbeitgeber geäufnetem Vermögen einer Vorsorgeeinrichtung geht und die Destinatäre auf die Leistungen keinen individuellen oder kollektiven Rechtsanspruch, sondern bloss Anwartschaften haben (Urteil 2A.606/2006 vom 18. April 2007, E. 2.1).</w:t>
      </w:r>
    </w:p>
    <w:p>
      <w:r>
        <w:rPr>
          <w:b/>
        </w:rPr>
        <w:t>E. 4.3</w:t>
      </w:r>
    </w:p>
    <w:p>
      <w:r>
        <w:t>Nach Massgabe dieser die Verteilung freier Stiftungsmittel auch ausserhalb einer Teil- oder Gesamtliquidation beherrschenden Rechtsgrundsätze kann es nicht zweifelhaft sein, dass eine Übergangsregelung, mit welcher - wie im vorliegenden Fall - freie Stiftungsmittel während einer zweijährigen Übergangsfrist und in Form von 24 monatlichen transition benefits zeitlich und quantitativ gestaffelt verteilt werden, die stiftungsrechtlichen Grundsätze der Gleichbehandlung der bisherigen Destinatäre und der Personalvorsorgevermögensnachfolge verletzt, wenn von der Arbeitgeberfirma während der Übergangsfrist entlassene Mitarbeiter von der späteren Verteilung pro rata temporis ausgeschlossen werden. Es fehlt jedenfalls bei so langjährigen Mitarbeitern wie dem Beschwerdeführer jeder sachliche Grund, der es rechtfertigen könnte, ihnen die während ihrer Zugehörigkeit zur Vorsorgeeinrichtung geäufneten freien Stiftungsmittel anteilsmässig wieder zu entziehen, wenn sie kurz nach Inkrafttreten des auf zwei Jahre gestaffelten Verteilungsplanes - hier vom 1. Oktober 2002 - 30. September 2004 - unfreiwillig zufolge Entlassung aus der Vorsorgeeinrichtung ausscheiden müssen. Hätte der Stiftungsrat die Notwendigkeit einer Übergangsregelung für die während der zweijährigen Übergangsfrist aus der Vorsorgeeinrichtung ausscheidenden Versicherten bereits im Mai 2002 bei Erlass des neuen Reglementes erkannt, hätte es seinem hypothetischen Parteiwillen entsprochen, zwischen freiwillig und unfreiwillig ausscheidenden Versicherten zu unterscheiden und nur ersteren die ab Beendigung des Arbeits- und Vorsorgeverhältnisses fällig werdenden transition benefits zu verweigern. Damit hätte er eine Unterscheidung getroffen, welche der Stiftungsrat im Rahmen des ihm bei der Verteilung freier Stiftungsmittel zustehenden Ermessens notwendigerweise zu treffen hat. Denn die dargelegten, die Verteilung von freien Stiftungsmitteln beherrschenden Rechtsgrundsätze haben gerade den Schutz der unfreiwillig aus der Vorsorgeeinrichtung ausscheidenden Versicherten zum Zweck. Dies erfordert, dass der Stiftungsrat sie im Rahmen einer nach seinem Ermessen zu treffenden Übergangsregelung nicht gleich behandelt wie die freiwillig Ausgeschiedenen.</w:t>
      </w:r>
    </w:p>
    <w:p>
      <w:r>
        <w:rPr>
          <w:b/>
        </w:rPr>
        <w:t>E. 4.4</w:t>
      </w:r>
    </w:p>
    <w:p>
      <w:r>
        <w:t>Zusammenfassend hat demgemäss die richterliche Füllung der im Reglement vom 23. Mai 2002 vorhandenen übergangsrechtlichen Regelungslücke betreffend die während der zweijährigen Übergangsfrist fällig gewordenen transition benefits dahingehend zu erfolgen, dass den in der Zeit vom 1. Oktober 2002 - 30. September 2004 unfreiwillig aus der PK Y.________ ausgeschiedenen Versicherten die nach der Beendigung des Vorsorgeverhältnisses fällig gewordenen monatlichen transition benefits zustehen, den freiwillig Ausgeschiedenen dagegen nicht. Der Beschwerdeführer hat daher Anspruch auf alle in der Zeit vom 1. März 2003 bis 30. September 2004 fällig gewordenen transition benefits. Das sind 19 Monatsbetreffnisse à Fr. 15'510.- oder gesamthaft Fr. 294'690.-.</w:t>
      </w:r>
    </w:p>
    <w:p>
      <w:r>
        <w:rPr>
          <w:b/>
        </w:rPr>
        <w:t>E. 5.1</w:t>
      </w:r>
    </w:p>
    <w:p>
      <w:r>
        <w:t>Das kantonale Gericht hat dem Beschwerdeführer gestützt auf Art. 2 Abs. 3 Satz 2 FZG in Verbindung mit Art. 7 FZV und Art. 12b und c BVV 2 (je in der bis 31. Dezember 2004 gültig gewesenen Fassung) sowie Art. 2 Abs. 4 FZG in Verbindung mit Art. 26 Abs. 2 FZG und Art. 7 Satz 1 FZV sowie Art. 12 lit. d BVV 2 (je in der seit 1. Januar 2005 in Kraft stehenden Fassung) Verzugszins von 3,5 % ab 1. März 2003, 2,5 % ab 1. Januar 2004 und 3,5 % ab 1. Januar 2005 zugesprochen. Der Beschwerdeführer beantragt seinerseits die Zusprechung derselben Verzugszinssätze mit denselben Laufzeiten.</w:t>
      </w:r>
    </w:p>
    <w:p>
      <w:r>
        <w:rPr>
          <w:b/>
        </w:rPr>
        <w:t>E. 5.2</w:t>
      </w:r>
    </w:p>
    <w:p>
      <w:r>
        <w:t>Die Vorinstanz hat übersehen, dass es sich bei den Normen, auf die sie die Verzugszinsforderung gestützt hat, um die Regelung des auf einer fälligen Austrittsleistung geschuldeten Verzugszinses handelt. Eine solche Austrittsleistung liegt hier nicht vor. Vielmehr geht es um den Anteil des Beschwerdeführers an den den Versicherten der PK Y.________ während der zweijährigen Übergangsfrist (1. Oktober 2002 - 30. September 2004) in Form von monatlichen transition benefits ausgerichteten freien Stiftungsmittel. Hiefür richtet sich die Verzugszinspflicht, sofern eine diesbezügliche reglementarische Regelung - wie hier im Reglement vom 23. Mai 2002 - fehlt, nach den obligationenrechtlichen Regeln von Art. 102 ff. OR (vgl. BGE 127 V 377 E. 6e/bb S. 390). Der massgebende Verzugszinssatz beträgt daher 5 % ( Art. 104 Abs. 1 OR ). Die hier dem Versicherten zugesprochenen transition benefits wurden während der zweijährigen Übergangsfrist monatlich fällig, weshalb auf den dem Beschwerdeführer für die Zeit vom 1. März 2003 bis 30. September 2004 geschuldeten 19 transition benefits Verzugszins ab mittlerem Verfall, d.h. ab 16. Dezember 2003 geschuldet ist. Der Offizialgrundsatz gemäss Art. 132 lit. c OG erlaubt die Zusprechung dieser höheren als vom Beschwerdeführer beantragten Verzugszinsforderung.</w:t>
      </w:r>
    </w:p>
    <w:p>
      <w:r>
        <w:rPr>
          <w:b/>
        </w:rPr>
        <w:t>E. 6</w:t>
      </w:r>
    </w:p>
    <w:p>
      <w:r>
        <w:t>Das Verfahren hat Versicherungsleistungen zum Gegenstand und ist deshalb kostenlos ( Art. 134 OG ). Dem Prozessausgang entsprechend steht dem Beschwerdeführer eine Parteientschädigung zu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