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44/00 vom 19. März 2001</w:t>
      </w:r>
    </w:p>
    <w:p>
      <w:r>
        <w:t>Bundesgericht, 2001-03-19, FR</w:t>
      </w:r>
    </w:p>
    <w:p>
      <w:r>
        <w:rPr>
          <w:b/>
        </w:rPr>
        <w:t xml:space="preserve">Quelle: </w:t>
      </w:r>
      <w:r>
        <w:t>https://mcp.opencaselaw.ch/entscheid/bger_B_44_00</w:t>
      </w:r>
    </w:p>
    <w:p>
      <w:r>
        <w:t>FR: TF B 44/00 du 19 mars 2001</w:t>
      </w:r>
    </w:p>
    <w:p>
      <w:r>
        <w:t>IT: TF B 44/00 del 19 marzo 2001</w:t>
      </w:r>
    </w:p>
    <w:p>
      <w:pPr>
        <w:pStyle w:val="Heading2"/>
      </w:pPr>
      <w:r>
        <w:t>Regeste</w:t>
      </w:r>
    </w:p>
    <w:p>
      <w:r>
        <w:t>Prévoyance professionnelle</w:t>
      </w:r>
    </w:p>
    <w:p>
      <w:pPr>
        <w:pStyle w:val="Heading2"/>
      </w:pPr>
      <w:r>
        <w:t>Erwägungen</w:t>
      </w:r>
    </w:p>
    <w:p>
      <w:r>
        <w:rPr>
          <w:b/>
        </w:rPr>
        <w:t>E. 1</w:t>
      </w:r>
    </w:p>
    <w:p>
      <w:r>
        <w:t>L' art. 30c LPP prévoit que l'assuré peut, au plus tard trois ans avant la naissance du droit aux prestations de vieillesse, faire valoir auprès de son institution de prévoyance le droit au versement d'un montant pour la propriété d'un logement destiné à ses propres besoins (al. 1). Les assurés peuvent obtenir, jusqu'à l'âge de 50 ans, un montant jusqu'à concurrence de leur prestation de libre passage (al. 2, première phrase). Conformément à l'art. 5 al. 1 de l'ordonnance du 3 octobre 1994 sur l'encouragement à la propriété du logement au moyen de la prévoyance professionnelle (OEPL; RS 831. 411), le montant minimal du versement anticipé est de 20 000 fr. Selon l' art. 6 OEPL , l'institution de prévoyance paie le montant du versement anticipé au plus tard six mois après que la personne assurée a fait valoir son droit (al. 1, première phrase). L'institution de prévoyance paie le montant du versement anticipé, après production des pièces justificatives idoines et avec l'accord de la personne assurée, directement au vendeur, à l'entrepreneur, au prêteur ou aux bénéficiaires selon l'article 1er al. 1 let. b (al. 2).</w:t>
      </w:r>
    </w:p>
    <w:p>
      <w:r>
        <w:rPr>
          <w:b/>
        </w:rPr>
        <w:t>E. 2</w:t>
      </w:r>
    </w:p>
    <w:p>
      <w:r>
        <w:t>Comme le retiennent avec raison les premiers juges, la caisse n'était pas en mesure de verser le montant litigieux avant le 31 décembre 1998, attendu qu'elle ne disposait pas de toutes les pièces justificatives nécessaires. A cet égard, il ne fait pas de doute qu'elle était en droit d'exiger de la recourante un extrait du registre foncier et de différer le paiement de ce montant jusqu'à réception de cette pièce. C'est pour un motif dépourvu de tout fondement juridique que la recourante a exigé une modification, portant sur la date du paiement, du projet de contrat que lui a soumis la caisse. Cette exigence apparaît d'autant moins justifiée qu'à ce moment-là le délai de six mois prévu par l' art. 6 OEPL n'était pas encore expiré. On note enfin que l'engagement pris par la caisse le 10 septembre 1998 de verser la somme de 20 000 fr. à la date du 31 décembre 1998 était subordonné à diverses conditions, parmi lesquelles figurait la production de toutes les pièces justificatives nécessaires. C'est donc en vain que la recourante se prévaut de cet engagement. On ne voit donc pas sur quel motif pourrait reposer la prétention de la recourante à un versement rétroactif au 31 décembre 1998. D'ailleurs, dans les faits, on conçoit difficilement qu'une telle rétroactivité soit praticable. La seule question qui pourrait se poser en cas de retard injustifié de la caisse a trait aux conséquences attachées à ce retard, sous l'angle d'une obligation éventuelle de l'institution de réparer le dommage subi par l'affilié. Mais comme la caisse, on l'a vu, ne se trouvait pas en demeure de s'exécuter, ce point n'a pas à être examiné plus avant.</w:t>
      </w:r>
    </w:p>
    <w:p>
      <w:r>
        <w:rPr>
          <w:b/>
        </w:rPr>
        <w:t>E. 3</w:t>
      </w:r>
    </w:p>
    <w:p>
      <w:r>
        <w:t>A l'appui de sa proposition d'admettre partiellement le recours, l'OFAS soutient que la caisse n'était pas en droit de faire dépendre le versement anticipé du paiement par l'assurée d'un montant de 300 fr. pour la couverture de frais administratifs. La recourante, cependant, ne conteste pas son obligation de payer le montant en question. Elle déclare au contraire vouloir le verser aussitôt qu'elle aura la certitude que le versement anticipé sera exécuté "au 31 décembre 1998". Au demeurant, une contribution aux frais d'administration peut être perçue des destinataires pour le versement anticipé ou la mise en gage de moyens de prévoyance tendant à l'acquisition de la propriété du logement. Le prélèvement d'une telle contribution doit toutefois être prévu dans le règlement de l'institution. Quant au montant de la contribution, il a été jugé qu'une somme forfaitaire de 400 fr. pour un versement anticipé de 20 000 fr. se situait dans des normes admissibles (sur ces divers points, voir ATF 124 II 572 ss, consid. 2 et 3). Dans le cas particulier, le prélèvement d'une contribution de 300 fr. est expressément prévu à l'art. 24 du règlement édicté par le Conseil d'Etat du canton de Fribourg le 9 janvier 1997, concernant l'encouragement à la propriété du logement au moyen de la prévoyance professionnelle pour les assurés de la Caisse de prévoyance du personnel de l'Etat (RSF 122. 73.16). L'argumentation de l'OFAS n'est dès lors pas fondée.</w:t>
      </w:r>
    </w:p>
    <w:p>
      <w:r>
        <w:rPr>
          <w:b/>
        </w:rPr>
        <w:t>E. 4</w:t>
      </w:r>
    </w:p>
    <w:p>
      <w:r>
        <w:t>Le recours étant manifestement infondé, il doit être liquidé selon la procédure simplifiée prévue par l' art. 36a OJ .</w:t>
      </w:r>
    </w:p>
    <w:p>
      <w:r>
        <w:rPr>
          <w:b/>
        </w:rPr>
        <w:t>E. 5</w:t>
      </w:r>
    </w:p>
    <w:p>
      <w:r>
        <w:t>Vu la nature du litige, la procédure n'est pas gratuite ( art. 134 OJ a contrario). Succombant, la recourante en supportera les frais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