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37/01 vom 28. Juni 2002</w:t>
      </w:r>
    </w:p>
    <w:p>
      <w:r>
        <w:t>Bundesgericht, 2002-06-28, DE</w:t>
      </w:r>
    </w:p>
    <w:p>
      <w:r>
        <w:rPr>
          <w:b/>
        </w:rPr>
        <w:t xml:space="preserve">Quelle: </w:t>
      </w:r>
      <w:r>
        <w:t>https://mcp.opencaselaw.ch/entscheid/bger_B_37_01</w:t>
      </w:r>
    </w:p>
    <w:p>
      <w:r>
        <w:t>FR: TF B 37/01 du 28 juin 2002</w:t>
      </w:r>
    </w:p>
    <w:p>
      <w:r>
        <w:t>IT: TF B 37/01 del 28 giugno 2002</w:t>
      </w:r>
    </w:p>
    <w:p>
      <w:pPr>
        <w:pStyle w:val="Heading2"/>
      </w:pPr>
      <w:r>
        <w:t>Regeste</w:t>
      </w:r>
    </w:p>
    <w:p>
      <w:r>
        <w:t>Berufliche Vorsorge</w:t>
      </w:r>
    </w:p>
    <w:p>
      <w:pPr>
        <w:pStyle w:val="Heading2"/>
      </w:pPr>
      <w:r>
        <w:t>Erwägungen</w:t>
      </w:r>
    </w:p>
    <w:p>
      <w:r>
        <w:rPr>
          <w:b/>
        </w:rPr>
        <w:t>E. 1</w:t>
      </w:r>
    </w:p>
    <w:p>
      <w:r>
        <w:t>a) aa) Im in Art. 73 BVG für den kantonalen Prozess über Streitigkeiten zwischen Vorsorgeeinrichtungen, Arbeitgebern und Anspruchsberechtigten - darunter auch über Beitragsstreitigkeiten, in denen sich wie vorliegend eine Vorsorgeeinrichtung und ein Arbeitgeber gegenüberstehen - vorgesehenen öffentlich-rechtlichen Klageverfahren ( BGE 124 V 289 , 119 V 13 Erw. 2a, 117 V 342 Erw. 2b, 115 V 229 f., 242, 379 Erw. 3b; SVR 1995 BVG Nr. 40 S. 118 Erw. 2b; SZS 2001 S. 561 Erw. 1a/aa) stellt das Gericht den Sachverhalt von Amtes wegen fest ( Art. 73 Abs. 2 BVG ). Es gilt somit der Untersuchungsgrundsatz ( BGE 115 V 113 Erw. 3d/bb; SZS 2001 S. 561 Erw. 1a/aa), der besagt, dass das Gericht von Amtes wegen für die richtige und vollständige Feststellung des rechtserheblichen Sachverhalts zu sorgen hat ( BGE 125 V 195 Erw. 2, 122 V 158 Erw. 1a; SZS 2001 S. 561 Erw. 1a/aa). Dies bedeutet, dass in Bezug auf den rechtserheblichen Sachverhalt Abklärungen vorzunehmen sind, wenn hiezu aufgrund der Parteivorbringen oder anderer sich aus den Akten ergebender Anhaltspunkte hinreichender Anlass besteht ( BGE 117 V 282 Erw. 4a; AHI 1994 S. 212 Erw. 4a; SVR 1999 IV Nr. 10 S. 28 Erw. 2c; SZS 2001 S. 562 Erw. 1a/aa). bb) Der Untersuchungsgrundsatz wird beschränkt durch die Mitwirkungspflichten der Parteien ( BGE 125 V 195 Erw. 2, 122 V 158 Erw. 1a; SZS 2001 S. 562 Erw. 1a/bb). Zu diesen gehört im Klageverfahren über Beiträge der beruflichen Vorsorge die Substanziierungspflicht, welche beinhaltet, dass die wesentlichen Tatsachenbehauptungen und -bestreitungen in den Rechtsschriften enthalten sein müssen. Dementsprechend ist es einerseits Sache der klagenden Vorsorgeeinrichtung, die Beitragsforderung so weit zu substanziieren, dass sie überprüft werden kann; andererseits obliegt es der beklagten Arbeitgeberin, substanziiert darzulegen, weshalb und gegebenenfalls in welchen Punkten die eingeklagte Beitragsforderung unbegründet bzw. unzutreffend ist (SZS 2001 S. 562 Erw. 1a/bb). Soweit die eingeklagte Forderung hinreichend substanziiert ist, bleiben unsubstanziierte Bestreitungen unberücksichtigt; demgegenüber darf das Gericht eine Klage, soweit sie nicht hinreichend substanziiert und nachvollziehbar ist, trotz ungenügend substanziierter oder gänzlich fehlender Bestreitung nicht gutheissen (SZS 2001 S. 562 Erw. 1a/bb). b) Ferner gilt das Prinzip der Rechtsanwendung von Amtes wegen, wonach das Gericht verpflichtet ist, auf den festgestellten Sachverhalt jenen Rechtssatz anzuwenden, den es als den zutreffenden ansieht, und ihm auch die Auslegung zu geben, von der es überzeugt ist ( BGE 110 V 52 Erw. 4a; SZS 2001 S. 562 Erw. 1b).</w:t>
      </w:r>
    </w:p>
    <w:p>
      <w:r>
        <w:rPr>
          <w:b/>
        </w:rPr>
        <w:t>E. 2</w:t>
      </w:r>
    </w:p>
    <w:p>
      <w:r>
        <w:t>a) Da keine Versicherungsleistungen streitig sind,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 zum Beispiel des Untersuchungsgrundsatzes (SZS 2001 S. 562 Erw. 2a) - festgestellt worden ist (Art. 132 in Verbindung mit Art. 104 lit. a und b sowie Art. 105 Abs. 2 OG ). b) Im Rahmen von Art. 105 Abs. 2 OG ist die Möglichkeit, im Verfahren vor dem Eidgenössischen Versicherungsgericht neue tatsächliche Behauptungen aufzustellen oder neue Beweismittel geltend zu machen, weitgehend eingeschränkt. Nach der Rechtsprechung sind nur jene neuen Beweismittel zulässig, welche die Vorinstanz von Amtes wegen hätte erheben müssen und deren Nichterheben eine Verletzung wesentlicher Verfahrensvorschriften darstellt ( BGE 121 II 99 Erw. 1c, 120 V 485 Erw. 1b, je mit Hinweisen). Unzulässig und mit der weit gehenden Bindung des Eidgenössischen Versicherungsgerichts an die vorinstanzliche Sachverhaltsfeststellung gemäss Art. 105 Abs. 2 OG unvereinbar ist es darum, neue tatsächliche Behauptungen und neue Beweismittel erst im letztinstanzlichen Verfahren vorzubringen, obwohl sie schon im kantonalen Beschwerdeverfahren hätten geltend gemacht werden können und - in Beachtung der Mitwirkungspflicht - hätten geltend gemacht werden müssen. Solche (verspätete) Vorbringen sind nicht geeignet, die tatsächlichen Feststellungen der Vorinstanz als mangelhaft im Sinne von Art. 105 Abs. 2 OG erscheinen zu lassen ( BGE 121 II 100 Erw. 1c, SZS 2001 S. 562 Erw. 2b mit Hinweisen).</w:t>
      </w:r>
    </w:p>
    <w:p>
      <w:r>
        <w:rPr>
          <w:b/>
        </w:rPr>
        <w:t>E. 3</w:t>
      </w:r>
    </w:p>
    <w:p>
      <w:r>
        <w:t>Das kantonale Gericht hat die gesetzlichen und reglementarischen Bestimmungen über den koordinierten Lohn ( Art. 8 Abs. 1 und Abs. 3 BVG ; Art. 2 Ziff. 2.5 des Vorsorge-Reglements der Stiftung, nachfolgend: Reglement) zutreffend dargelegt. Darauf wird verwiesen. Zu ergänzen ist, dass als Lohn innerhalb der Koordinationsgrenzen der massgebende Jahreslohn gemäss dem Bundesgesetz über die Alters- und Hinterlassenenversicherung (AHVG) gilt ( Art. 7 Abs. 1 und 2 Satz 1 BVG ; Art. 2 Ziff. 2.1 des Reglements). Nach Ziff. X Art. 8 lit. B/6 der Allgemeinen Bedingungen zum Anschlussvertrag hatte der Beschwerdeführer der Stiftung die Löhne seiner Arbeitnehmer zu melden. Die Vorsorgeeinrichtung legt die Höhe der Beiträge des Arbeitgebers und der Arbeitnehmer in den reglementarischen Bestimmungen fest ( Art. 66 Abs. 1 Satz 1 BVG ). Der Arbeitgeber schuldet der Vorsorgeeinrichtung die gesamten Beiträge. Für nicht rechtzeitig bezahlte Beiträge kann die Vorsorgeeinrichtung Verzugszinsen verlangen ( Art. 66 Abs. 2 BVG ).</w:t>
      </w:r>
    </w:p>
    <w:p>
      <w:r>
        <w:rPr>
          <w:b/>
        </w:rPr>
        <w:t>E. 4</w:t>
      </w:r>
    </w:p>
    <w:p>
      <w:r>
        <w:t>Der Beschwerdeführer macht geltend, die Saldoforderungen seien unkontrollierbar. Im Weiteren fehlten präzise Bestimmungen über die Abzugsmöglichkeit von freiwilligen Ausfallzeiten und Ferienüberbezügen der Arbeitnehmer. Ein Teil der Saisonniers habe in der Saison ohne Unterbruch gearbeitet. Viele hätten jedoch im Sommer Ferien verlangt und seien regelmässig für ein bis vier Wochen nach Hause gefahren, was in den 13 Versicherungsjahren einem Ausfall von ca. 700 prämienbelasteten Fehlstunden entspreche. Die Ferienüberbezüge und Blauzeiten der übrigen Arbeitnehmer ergäben in diesem Zeitraum einen beträchtlichen, nicht anerkannten Leistungsausfall, für den ohne Einkünfte Prämien bezahlt worden seien. Seine diesbezüglichen Reklamationen seien zunächst von Herrn W.________, Aussendienstmitarbeiter der Stiftung, mit dem Hinweis auf die Nichtmutierbarkeit von Ferienzeiten abgelehnt worden. Erst Herr P.________ von der Stiftung habe ihm mündlich bewilligt, gravierende Absenzen und Ausfälle durch Mutationsmeldungen einzubringen. Die einzig realistische Lösung sei eine Berechnung aufgrund der jährlichen AHV-Lohnbescheinigungen, da hierin beim Stundenlohn die den Ferienanspruch übersteigenden Ausfallzeiten wie auch sämtliche Überzeiten berücksichtigt seien. In diesem Sinne sei auch die Auffangstiftung BVG für die Zeit ab 1. Oktober 1997 bis 29. Februar 2000 vorgegangen. Diese Arbeitsausfälle seien in den Akten der Stiftung nicht vorhanden, weshalb sie im Gutachten vom 13. Juli 2000 nicht berücksichtigt seien.</w:t>
      </w:r>
    </w:p>
    <w:p>
      <w:r>
        <w:rPr>
          <w:b/>
        </w:rPr>
        <w:t>E. 5</w:t>
      </w:r>
    </w:p>
    <w:p>
      <w:r>
        <w:t>Soweit der Beschwerdeführer eine Neuberechnung der Forderung ab 1. Januar 1985 verlangt, kann dem nicht gefolgt werden. Gegenstand der Klage sind nämlich - wie die Vorinstanz zutreffend ausgeführt hat - nur die Beiträge für die Zeit ab 1. Januar 1996 bis 3. Oktober 1997. Denn per 1. Januar 1996 ging die Stiftung von einem Saldo zu ihren Gunsten von Fr. 69'793. 70 aus. Nachdem der Beschwerdeführer Beitragszahlungen von total Fr. 73'269. 80 (Fr. 25'000.- am 23. Januar 1996, Fr. 10'000.- am 1. Juli 1996 und Fr. 38'269. 80 am 7. November 1996) geleistet hatte, zog die Stiftung ihre Betreibung für den per Ende 1995 bestehenden Beitragsausstand am 22. November 1996 zurück. Irrelevant sind unter diesen Umständen die vom Beschwerdeführer am 20. April 2001 (innert der Rechtsmittelfrist) neu eingereichten, am 9. Februar 1996 zuhanden der Ausgleichskasse Z.________ erstellten Lohnbescheinigungen für das Jahr 1995. Im Übrigen sind sie auch deshalb unbeachtlich, weil sie schon im vorinstanzlichen Verfahren hätten eingereicht werden können (Erw. 2b hievor).</w:t>
      </w:r>
    </w:p>
    <w:p>
      <w:r>
        <w:rPr>
          <w:b/>
        </w:rPr>
        <w:t>E. 6</w:t>
      </w:r>
    </w:p>
    <w:p>
      <w:r>
        <w:t>Februar 1997 (Fr. 53'593. 50), 7. Februar 1997 (Fr. 57'370.-), 25. August 1997 (Fr. 80'109. 55), 29. August 1997 (Fr. 107'391. 80), 6. Oktober 1997 (Fr. 96'995. 25) und</w:t>
      </w:r>
    </w:p>
    <w:p>
      <w:r>
        <w:rPr>
          <w:b/>
        </w:rPr>
        <w:t>E. 8</w:t>
      </w:r>
    </w:p>
    <w:p>
      <w:r>
        <w:t>Streitig und zu prüfen ist weiter, ob der Beschwerdeführer ab 1. Oktober 1997 Verzugszinsen von 5 % zu bezahlen hat. Er wendet ein, die Forderung von Verzugszinsen scheine ihm insofern fraglich, als man mit der Klage 18 Monate habe zuwarten können. a) Der Anschlussvertrag zwischen einem Arbeitgeber und einer Sammel- oder Gemeinschaftsstiftung ist ein Innominatkontrakt sui generis ( BGE 120 V 304 f. Erw. 4a), der von Gesetzes wegen keiner besonderen Form bedarf. Er kommt durch übereinstimmende Willenserklärungen der Parteien zustande, welche ausdrücklich oder stillschweigend erfolgen können ( Art. 1 Abs. 2 OR ). Die von einer Gemeinschafts- oder Sammelstiftung erlassenen Reglemente und Allgemeinen Geschäfts- oder Versicherungsbedingungen werden nur Vertragsinhalt, wenn sie von den Parteien übernommen werden. Die Übernahme kann ausdrücklich erfolgen, indem im konkreten Anschlussvertrag verabredet wird, dass bestimmte Reglemente oder Allgemeine Versicherungsbedingungen als Vertragsinhalt gelten sollen (nicht veröffentlichtes Urteil R. vom 26. Juni 2000 Erw. 7b/aa, B 60/98). b) Der vom Beschwerdeführer unterzeichnete Anschlussvertrag vom 17. Juni/31. Juli 1992 erklärt unter anderem die Allgemeinen Bedingungen für die Kollektivlebensversicherung (nachfolgend: Bedingungen) zum Vertragsbestandteil, weshalb sie anwendbar sind. Art. 7 Ziff. 1 dieser Bedingungen statuiert, dass die Prämien der einzelnen Versicherungen für jedes Versicherungsjahr im Voraus zahlbar sind, sofern nicht ausdrücklich unterjährige Prämienzahlung vereinbart worden ist. Gemäss Art. 7 Ziff. 2 der Bedingungen sind die bei Vertragsabschluss geschuldeten Prämien auf den Versicherungsbeginn fällig. Die Folgeprämien sind innert Monatsfrist vom Stichtag oder von der Rechnungsstellung an zu entrichten. Laut Art. 8 Ziff. 1 der Bedingungen belastet die Stiftung Verzugszinsen, wenn die Prämien nicht innert Monatsfrist (Art. 7 Ziff. 2) gezahlt werden. Die Stiftung verlangt die Verzugszinsen ab 1. Oktober 1997, mithin ab Beendigung des Anschlussvertrages (30. September 1997). Gemäss den Bedingungen gilt jedoch das Vertragsende nicht als Auslöser der Verzugszinspflicht. Abzustellen ist hingegen auf die Rechnung der Stiftung vom 30. Oktober 1997, worin der Beschwerdeführer aufgefordert wurde, den Klagebetrag von Fr. 94'161. 50 bis 15. November 1997 zu begleichen. Die Verzugszinspflicht begann einen Monat ab dieser gesetzten Zahlungsfrist bzw. am 16. Dezember 1997. Der Verzugszins von 5 % wird nicht bestritten und ist nicht zu beanstanden ( Art. 104 Abs. 1 und 2 OR ; BGE 127 V 390 Erw. 5e/bb mit Hinweisen; SVR 2001 BVG Nr. 16 S. 64 Erw. 4).</w:t>
      </w:r>
    </w:p>
    <w:p>
      <w:r>
        <w:rPr>
          <w:b/>
        </w:rPr>
        <w:t>E. 9</w:t>
      </w:r>
    </w:p>
    <w:p>
      <w:r>
        <w:t>Das Verfahren vor dem Eidgenössischen Versicherungsgericht ist kostenpflichtig, weil es nicht die Bewilligung oder Verweigerung von Versicherungsleistungen, sondern eine Beitragsstreitigkeit betrifft ( Art. 134 OG e contrario). Entsprechend dem Prozessausgang sind die Gerichtskosten von der Stiftung zu tragen (Art. 156 Abs. 1 in Verbindung mit Art. 135 OG ). Demnach erkennt das Eidg. Versicherungsgericht: I.In Gutheissung der Verwaltungsgerichtsbeschwerde wird der Entscheid des Verwaltungsgerichts des Kantons Bern vom 12. März 2001 aufgehoben und die Sache an dieses zurückgewiesen, damit es nach Vornahme der ergänzenden Abklärungen über die Klage im Sinne der Erwägungen neu entscheide. II.Die Gerichtskosten von Fr. 4500.- werden der Beschwerdegegnerin auferlegt. III. Der geleistete Kostenvorschuss von Fr. 4500.- wird dem Beschwerdeführer zurückerstattet. IV.Dieses Urteil wird den Parteien, dem Verwaltungsgericht des Kantons Bern, Sozialversicherungsrechtliche Abteilung, und dem Bundesamt für Sozialversicherung zugestellt. Luzern, 28. Juni 2002 Im Namen des Eidgenössischen Versicherungsgerichts Die Präsidentin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