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 33/99 vom 15. März 2000</w:t>
      </w:r>
    </w:p>
    <w:p>
      <w:r>
        <w:t>Bundesgericht, 2000-03-15, DE</w:t>
      </w:r>
    </w:p>
    <w:p>
      <w:r>
        <w:rPr>
          <w:b/>
        </w:rPr>
        <w:t xml:space="preserve">Quelle: </w:t>
      </w:r>
      <w:r>
        <w:t>https://mcp.opencaselaw.ch/entscheid/bger_B_33_99</w:t>
      </w:r>
    </w:p>
    <w:p>
      <w:r>
        <w:t>FR: TF B 33/99 du 15 mars 2000</w:t>
      </w:r>
    </w:p>
    <w:p>
      <w:r>
        <w:t>IT: TF B 33/99 del 15 marzo 2000</w:t>
      </w:r>
    </w:p>
    <w:p>
      <w:pPr>
        <w:pStyle w:val="Heading2"/>
      </w:pPr>
      <w:r>
        <w:t>Regeste</w:t>
      </w:r>
    </w:p>
    <w:p>
      <w:r>
        <w:t>Berufliche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vorliegende Streitigkeit unterliegt der Ge- richtsbarkeit der in Art. 73 BVG erwähnten richterlichen Behörden, welche sowohl in zeitlicher als auch in sach- licher Hinsicht zuständig sind ( BGE 122 V 323 Erw. 2, 120 V 18 Erw. 1a, je mit Hinweisen).</w:t>
      </w:r>
    </w:p>
    <w:p>
      <w:r>
        <w:rPr>
          <w:b/>
        </w:rPr>
        <w:t>E. 2</w:t>
      </w:r>
    </w:p>
    <w:p>
      <w:r>
        <w:t>Streitig und zu prüfen ist, ob der Beschwerde- gegner Invalidenleistungen der Vorsorgeeinrichtung bean- spruchen kann.</w:t>
      </w:r>
    </w:p>
    <w:p>
      <w:r>
        <w:rPr>
          <w:b/>
        </w:rPr>
        <w:t>E. 3</w:t>
      </w:r>
    </w:p>
    <w:p>
      <w:r>
        <w:t>Das kantonale Gericht hat zutreffend dargelegt, dass es sich bei der Vorsorgestiftung der schweizerischen Landwirtschaft um eine nichtregistrierte Verbandsvorsorge- einrichtung in der Rechtsform der Stiftung handelt. Nicht zu beanstanden sind sodann die Ausführungen über die im Bereich der freiwilligen Vorsorge für Selbstständiger- werbende bei Fehlen entsprechender statutarischer bzw. reglementarischer Bestimmungen analogieweise anwendbaren Art. 4 ff. VVG bei Anzeigepflichtverletzungen im Rahmen der Antragstellung ( BGE 119 V 286 Erw. 4 mit Hinweisen). Darauf kann verwiesen werden. Ergänzend ist darauf hinzuweisen, dass auf nichtre- gistrierte Vorsorgeeinrichtungen die Bestimmung des Art. 45 Abs. 1 BVG keine Anwendung findet (Art. 5 Abs. 2 in Verbin- dung mit Art. 48 Abs. 1 BVG ). Sie sind in der Vertragsge- staltung grundsätzlich frei. Insbesondere können sie die Aufnahme in die Versicherung an gewisse Anforderungen des Gesundheitszustandes knüpfen, indem sie beispielsweise einen befristeten oder unbefristeten gesundheitlichen Vor- behalt anbringen ( BGE 119 V 283 f. Erw. 2a mit Hinweisen). Die Vorsorgestiftung hat von dieser Möglichkeit nach dem System der Selbstdeklaration Gebrauch gemacht.</w:t>
      </w:r>
    </w:p>
    <w:p>
      <w:r>
        <w:rPr>
          <w:b/>
        </w:rPr>
        <w:t>E. 4</w:t>
      </w:r>
    </w:p>
    <w:p>
      <w:r>
        <w:t>a) Die Vorinstanz gelangte in umfassender und korrekter Würdigung sämtlicher Unterlagen zur Auffassung, der Beschwerdegegner habe die Anzeigepflicht nicht ver- letzt. Im Zeitpunkt der Antragstellung (27. Oktober 1992) habe er sich gesund fühlen können und deshalb die Frage nach seinem Gesundheitszustand im Anmeldungsformular rich- tig beantwortet. Dem stehe nicht entgegen, dass er sich am</w:t>
      </w:r>
    </w:p>
    <w:p>
      <w:r>
        <w:rPr>
          <w:b/>
        </w:rPr>
        <w:t>E. 7</w:t>
      </w:r>
    </w:p>
    <w:p>
      <w:r>
        <w:t>Im vorliegenden Verfahren geht es um die Bewilli- gung oder Verweigerung von Versicherungsleistungen, weshalb von der Auferlegung von Gerichtskosten abzusehen ist ( Art. 134 OG ). Dem Prozessausgang entsprechend ist dem Be- schwerdegegner eine Parteientschädigung zuzusprechen (Art. 135 in Verbindung mit Art. 159 OG ). Demnach erkennt das Eidg. Versicherungsgericht: I.Die Verwaltungsgerichtsbeschwerde wird abgewiesen. II.Es werden keine Gerichtskosten erhoben. III.Die Vorsorgestiftung der schweizerischen Landwirt- schaft hat dem Beschwerdegegner für das Verfahren vor dem Eidgenössischen Versicherungsgericht eine Partei- entschädigung von Fr. 2500.- (einschliesslich Mehr- wertsteuer) zu bezahlen. IV.Dieses Urteil wird den Parteien, dem Versicherungs- gericht des Kantons Aargau und dem Bundesamt für Sozialversicherung zugestellt. Luzern, 15. März 2000 Im Namen des Eidgenössischen Versicherungsgerichts Der Präsident der IV. Kammer: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