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26/01 vom 29. November 2002</w:t>
      </w:r>
    </w:p>
    <w:p>
      <w:r>
        <w:t>Bundesgericht, 2002-11-29, DE</w:t>
      </w:r>
    </w:p>
    <w:p>
      <w:r>
        <w:rPr>
          <w:b/>
        </w:rPr>
        <w:t xml:space="preserve">Quelle: </w:t>
      </w:r>
      <w:r>
        <w:t>https://mcp.opencaselaw.ch/entscheid/bger_B_26_01</w:t>
      </w:r>
    </w:p>
    <w:p>
      <w:r>
        <w:t>FR: TF B 26/01 du 29 novembre 2002</w:t>
      </w:r>
    </w:p>
    <w:p>
      <w:r>
        <w:t>IT: TF B 26/01 del 29 novembre 2002</w:t>
      </w:r>
    </w:p>
    <w:p>
      <w:pPr>
        <w:pStyle w:val="Heading2"/>
      </w:pPr>
      <w:r>
        <w:t>Regeste</w:t>
      </w:r>
    </w:p>
    <w:p>
      <w:r>
        <w:t>Berufliche Vorsorge</w:t>
      </w:r>
    </w:p>
    <w:p>
      <w:pPr>
        <w:pStyle w:val="Heading2"/>
      </w:pPr>
      <w:r>
        <w:t>Erwägungen</w:t>
      </w:r>
    </w:p>
    <w:p>
      <w:r>
        <w:rPr>
          <w:b/>
        </w:rPr>
        <w:t>E. 1</w:t>
      </w:r>
    </w:p>
    <w:p>
      <w:r>
        <w:t>Der Beschwerdegegner ist, nach Lage der Akten, unbestrittenerweise zu mehr als zwei Dritteln invalid, was ihm nach Art. 28 Abs. 1 IVG Anrecht auf eine ganze IV-Invalidenrente verschafft und nach Art. 24 Abs. 1 BVG in Verbindung mit Art. 28 Abs. 1 IVG Anspruch auf eine volle BVG-Invalidenrente begründet. Verfahrensentscheidend ist die unter den Parteien strittige Frage, ob die Arbeitsunfähigkeit, welche dieser Invalidität zu Grunde liegt, in der Zeit zwischen dem 1. September und 31. Dezember 1994 eingetreten ist, als der Beschwerdegegner zufolge seines Anstellungsverhältnisses und unter Beachtung der Nachdeckungsfrist nach Art. 10 Abs. 3 BVG bei der Beschwerdeführerin vorsorgeversichert war ( BGE 118 V 38 f. Erw. 2a und seitherige ständige Rechtsprechung).</w:t>
      </w:r>
    </w:p>
    <w:p>
      <w:r>
        <w:rPr>
          <w:b/>
        </w:rPr>
        <w:t>E. 2.1</w:t>
      </w:r>
    </w:p>
    <w:p>
      <w:r>
        <w:t>Praxisgemäss (zuletzt BGE 126 V 310 Erw. 1 in fine mit Hinweisen) sind die Vorsorgeeinrichtungen im Bereich der gesetzlichen Mindestvorsorge ( Art. 6 BVG ) an die Feststellungen der IV-Organe insbesondere hinsichtlich des Eintrittes der invalidisierenden Arbeitsunfähigkeit (Eröffnung der Wartezeit; Art. 29 Abs. 1 lit. b IVG in Verbindung mit Art. 26 Abs. 1 BVG ) gebunden, soweit die IV-rechtliche Betrachtung auf Grund einer gesamthaften Prüfung der Akten nicht als offensichtlich unhaltbar erscheint.</w:t>
      </w:r>
    </w:p>
    <w:p>
      <w:r>
        <w:rPr>
          <w:b/>
        </w:rPr>
        <w:t>E. 2.2</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127 V 469 Erw. 2c mit Hinweisen). Rechtsprechungsgemäss sind die IV-Stellen demgegenüber befugt, voraussetzungslos eine Verfügung, welche nicht mit einem Rechtsmittel angefochten wurde, innerhalb der Rechtsmittelfrist zu widerrufen ( BGE 107 V 191 ). Weiter ist es zulässig, dass im kantonalen IV−Beschwerdeverfahren Art. 58 VwVG sinngemäss zur Anwendung gelangt, die IV-Stelle also berechtigt ist, bis zum Zeitpunkt, da sie der Beschwerdeinstanz ihre Vernehmlassung einreicht, die angefochtene Verfügung durch eine neue zu ersetzen (SVR 2001 IV Nr. 20 S. 59 ff. mit Hinweisen). Die IV-Stelle hat mittels der ursprünglichen Verfügung vom 13. November 1998 den Beginn der Wartezeit auf den 4. Januar 1997 und - folgerichtig - den Rentenbeginn auf den 1. Januar 1998 festgelegt. Der Beschwerdegegner opponierte mit der Eingabe vom 14. Dezember 1998, worin er alternativ die verfügungsweise Festsetzung eines früheren Rentenbeginns oder die Überweisung seiner Rechtsschrift als Beschwerde an das kantonale Gericht verlangte. Indem der Beschwerdegegner die Rentenverfügung vom 13. November 1998 innert der 30tägigen Beschwerdefrist ( Art. 84 Abs. 1 AHVG in Verbindung mit Art. 69 IVG ) vorsorglich anfocht, konnte diese nicht in Rechtskraft erwachsen und die IV-Stelle durfte bei Erlass der neuen Verfügungen vom 16. April 1999 ohne Beachtung der für die Wiedererwägung rechtskräftiger Verfügungen erforderlichen Voraussetzungen auf die ursprüngliche Rentenverfügung (vom 13. November 1998) zurückkommen (vgl. BGE 107 V 191 ). Die Verfügungen vom 16. April 1999 sind ihrerseits unangefochten geblieben und in Rechtskraft erwachsen. Daher sind sie für die Beschwerdeführerin im Obligatoriumsbereich verbindlich, es sei denn, die Annahme einer 50%igen Arbeitsunfähigkeit ab 1. Dezember 1994 sei offensichtlich unhaltbar.</w:t>
      </w:r>
    </w:p>
    <w:p>
      <w:r>
        <w:rPr>
          <w:b/>
        </w:rPr>
        <w:t>E. 3.1</w:t>
      </w:r>
    </w:p>
    <w:p>
      <w:r>
        <w:t>Die Vorinstanz hat die Frage der offensichtlichen Unhaltbarkeit verneint. Sie stützte sich dabei im Wesentlichen auf die Stellungnahmen des Dr. med. B.________ zur Arbeitsunfähigkeit (Berichte vom 30. März und - insbesondere - vom 11. Dezember 1998) sowie die anamnestischen Angaben im ersten Bericht der psychiatrischen Privatklinik E.________ vom 8. Mai 1998. Es sei in Anbetracht des seit vielen Jahren bestehenden psychischen Leidens (Depressionen, anankastische Persönlichkeit, extreme Zwangshandlungen) nicht anzunehmen, dass die Arbeitsunfähigkeit tatsächlich erst Anfang 1997 eingetreten sei, als der Beschwerdegegner zum ersten Mal von Dr. med. B.________ untersucht worden war. Die Festlegung des Beginns der Arbeitsunfähigkeit auf den Zeitpunkt des Eintritts der Arbeitslosigkeit (am 1. Dezember 1994) sei unter Berücksichtigung der gesamten Umstände im Ergebnis vertretbar.</w:t>
      </w:r>
    </w:p>
    <w:p>
      <w:r>
        <w:rPr>
          <w:b/>
        </w:rPr>
        <w:t>E. 3.2</w:t>
      </w:r>
    </w:p>
    <w:p>
      <w:r>
        <w:t>Dr. med. B.________ diagnostizierte im Bericht vom 30. März 1998 eine schwerste anankastische Persönlichkeitsstruktur mit massivsten Kontrollzwängen. Der Internist hielt fest, der Gesundheitsschaden bestehe seit mindestens 1977. Unter Hinweis darauf, dass sich der Kontakt mit dem Beschwerdegegner auf insgesamt vier Konsultationen zwischen dem 4. und 27. Januar 1997 beschränkt hatte, erklärte er sich indes ausser Stande, detaillierte Angaben zur Arbeitsunfähigkeit (Beginn, Entwicklung, Umfang) zu machen. Er empfahl der IV-Stelle, sich zu diesem Zwecke an die behandelnden Ärzte der Privatklinik E.________ zu wenden. Diese sprachen sich im Bericht vom 8. Mai 1998 für eine 100%ige Arbeitsunfähigkeit ab Februar 1997 aus. Darauf hielt Dr. med. B.________ im Bericht vom 11. Dezember 1998 fest, der Beschwerdegegner sei mit an Sicherheit grenzender Wahrscheinlichkeit seit dem 1. Dezember 1994 zu 50% arbeitsunfähig gewesen. Im Bericht vom 11. Februar 1999 erklärten die Ärzte der Privatklinik E.________ auf erneute Anfrage der IV−Stelle, sie könnten die Verhältnisse vor Februar 1997 nicht beurteilen, da die medizinischen Akten darüber keine zuverlässigen Schlüsse zuliessen und der Beschwerdegegner bei ihnen erstmals im Jahre 1997 behandelt worden sei. Es fehlen greifbare Gründe für die Annahme, warum der Beginn der Arbeitsunfähigkeit im Rahmen des sich über mehrere Jahrzehnte entwickelnden Krankheitsgeschehens ausgerechnet auf den 1. Dezember 1994 eingetreten sein soll. Die dahingehend lautende korrigierte Angabe des Dr. med. B.________ im Bericht vom 11. Dezember 1998 steht nach der Aktenlage ungesichert im Raum und ist daher nicht beweiskräftig. Wenn die IV-Stelle allein gestützt darauf den Eintritt der Arbeitsunfähigkeit nachträglich auf den 1. Dezember 1994 neu festsetzte, so ist dies offensichtlich unhaltbar im Sinne der Rechtsprechung (vgl. Erw. 2.1 hievor). Hat die IV-Stelle somit in offensichtlich unhaltbarer Weise den Beginn der Arbeitsfähigkeit auf den 1. Dezember 1994 festgesetzt, verletzt der angefochtene Entscheid Bundesrecht, insoweit er den entsprechenden IV−rechtlichen Festlegungen Verbindlichkeitswirkung zukommen lässt. Aus diesem materiellen Grund ist die Frage nach dem Eintritt der Arbeitsunfähigkeit entgegen dem kantonalen Gericht frei zu prüfen. Hinzu kommt indes ein verfahrensmässiger Gesichtspunkt, zu dem den Verfahrensbeteiligten das rechtliche Gehör gewährt wurde.</w:t>
      </w:r>
    </w:p>
    <w:p>
      <w:r>
        <w:rPr>
          <w:b/>
        </w:rPr>
        <w:t>E. 4</w:t>
      </w:r>
    </w:p>
    <w:p>
      <w:r>
        <w:t>Die Rechtsprechung liess bisher offen, ob den Vorsorgeeinrichtungen von Amtes wegen eine Verfügung zuzustellen ist, wie dies Art. 76 IVV für die Unfallversicherer, die Militärversicherung und die Krankenkassen (in den Fällen von Art. 88quater IVV ) vorsieht, und ob ihnen gestützt auf Art. 84 AHVG in Verbindung mit Art. 69 IVG ein selbstständiges Beschwerderecht zusteht ( BGE 115 V 208 ff. Erw. 3). Der hier zu beurteilende Fall bietet Anlass zu prüfen, ob der unterbliebene Einbezug der Vorsorgeeinrichtung in das vorangehende IV−Verfahren eine Verbindlichkeitswirkung der dort getroffenen Feststellungen und Beurteilungen aus formellen Gründen ausschliesst. Eine Beantwortung der in BGE 115 V 208 ff. Erw. 3 offen gelassenen Frage und damit eine Klärung der Rechtslage ist auch deswegen angezeigt, weil Prozesse betreffend die Haftungsverlängerung gemäss Art. 23 BVG , in denen es um die Frage nach dem Eintritt der Arbeitsunfähigkeit vor, während oder nach einem Vorsorgeverhältnis geht, zu den häufigsten gerichtlichen Streitsachen der beruflichen Vorsorge gehören.</w:t>
      </w:r>
    </w:p>
    <w:p>
      <w:r>
        <w:rPr>
          <w:b/>
        </w:rPr>
        <w:t>E. 4.1</w:t>
      </w:r>
    </w:p>
    <w:p>
      <w:r>
        <w:t>Es entspricht einem unbestrittenen, unter der Herrschaft der Bundesverfassung (vom 29. Mai 1874) wie der am 1. Januar 2000 in Kraft getretenen (neuen) Bundesverfassung vom 18. April 1999 (AS 1999 2555; BBl 1999 7922) gleichermassen anerkannten rechtsstaatlichen Minimalstandard (vgl. BGE 126 V 130 ), dass ein Rechtssubjekt eine von einer Behörde verfügte Rechtsfolge nur dann gegen sich gelten zu lassen braucht, wenn es vorgängig dazu angehört worden ist. Rechtsprechung (statt vieler: BGE 122 V 158 Erw. 1a mit Hinweisen) und Literatur (stellvertretend: Michel Hottelier, Les garanties de procédure, in: Daniel Thürer/Jean-François Aubert/Jörg Paul Müller (Hrsg.), Verfassungsrecht der Schweiz, Zürich 2001, § 51 Rz 10 ff.; Jörg Paul Müller, Grundrechte in der Schweiz, 3. Aufl., Bern 1999, S. 493 ff.; Michele Albertini, Der verfassungsmässige Anspruch auf rechtliches Gehör im Verwaltungsverfahren des modernen Staates, Diss. Bern 2000, S. 259 ff.) stimmen darin überein, dass ein wesentlicher Teilgehalt des Anspruchs auf rechtliches Gehör im Recht der betroffenen Person auf Orientierung, Äusserung und - häufig zentral - der Mitwirkung bei der Sachverhaltsabklärung (Teilnahme am Beweisverfahren) besteht. Mit dieser rechtsstaatlichen Minimalanforderung eines fairen Verfahrens ist es nicht vereinbar, dass eine Vorsorgeeinrichtung die von der IV-Stelle vorgenommene Festlegung des Invaliditätsgrades und des Eintritts der invalidisierenden Arbeitsunfähigkeit im Bereich der obligatorischen beruflichen Vorsorge kraft Verbindlichkeitswirkung gemäss Rechtsprechung (vgl. Erw. 2.1 hievor) grundsätzlich gegen sich gelten lassen muss, ohne im Verfahren vor der IV-Stelle einbezogen worden zu sein. Das auf fehlende Bindung bei offensichtlicher Unhaltbarkeit lautende Korrektiv gemäss der geltenden Rechtsprechung (vgl. Erw. 2.1 hievor) ändert an der Verletzung des rechtlichen Gehörs und der Missachtung der daraus fliessenden Mitwirkungsrechte nichts. Denn es macht einen wesentlichen Unterschied aus, ob die Vorsorgeeinrichtung am IV−Verfahren, das zum verbindlichen Entscheid führt, teilnehmen kann mit der Möglichkeit, auf jeden tatsächlichen oder rechtlichen Fehler hinzuweisen oder ob sie der Verbindlichkeitswirkung als grundsätzlichem fait accompli nur bei erstellter offensichtlicher Unhaltbarkeit entgeht. Auf diesen Mangel in der Verfahrensgestaltung hat insbesondere Christian Zünd, Enge Bindung der Vorsorgeeinrichtungen an die Feststellungen der IV-Organe - jedoch ohne Verfahrensbeteiligung: wie lange noch?, in: SZS 45/2001 S. 31 ff., hingewiesen. Die Rechtsprechung, wonach der Entscheid der IV-Organe für die Vorsorgeeinrichtungen verbindlich sei - selbst ohne Beteiligungsmöglichkeit derselben am Verfahren - halte dem ausdrücklich in der Verfassung gewährleisteten Grundsatz des rechtlichen Gehörs ( Art. 29 Abs. 2 BV ) nicht stand (Zünd, a.a.O., S. 37). Er verweist auf BGE 126 V 288 , wo das Eidgenössische Versicherungsgericht festhielt, dass die erforderliche Koordination im Verhältnis zwischen Unfallversicherer und Invalidenversicherung nach gewissen Mitwirkungsrechten des durch eine verfügungsmässige Festlegung der Invalidität in einem Sozialversicherungsbereich tangierten anderen Versicherers verlange (vgl. BGE 126 V 294 ).</w:t>
      </w:r>
    </w:p>
    <w:p>
      <w:r>
        <w:rPr>
          <w:b/>
        </w:rPr>
        <w:t>E. 4.2.1</w:t>
      </w:r>
    </w:p>
    <w:p>
      <w:r>
        <w:t>Nun hat sich der Gesetz- oder Verordnungsgeber in verschiedenen Bereichen des Problems angenommen, namentlich durch den - gleichsam modellhaften - Art. 129 UVV . Nach der Rechtsprechung zu dieser Bestimmung obliegt dem Unfallversicherer eine umfassende Pflicht zur Verfügungseröffnung an sämtliche Sozialversicherer, soweit die erlassene Verfügung geeignet ist, die Leistungspflicht der anderen Sozialversicherungsträger zu berühren (vgl. statt vieler RKUV 1997 Nr. U 276 S. 195). De lege lata besteht sodann im Bereich der Invalidenversicherung eine Bestimmung im Verhältnis zur Krankenversicherung ( Art. 88quater IVV ; BGE 120 V 294 ).</w:t>
      </w:r>
    </w:p>
    <w:p>
      <w:r>
        <w:rPr>
          <w:b/>
        </w:rPr>
        <w:t>E. 4.2.2</w:t>
      </w:r>
    </w:p>
    <w:p>
      <w:r>
        <w:t>Das Bundesgesetz über den Allgemeinen Teil des Sozialversicherungsrechts (ATSG) vom 6. Oktober 2000 (BBl 2000 5041 ff., 5052), welches auf den 1. Januar 2003 in Kraft treten wird (AS 2002 3393), kennt in Art. 49 Abs. 4 eine Bestimmung, welche dem Art. 129 UVV inhaltlich entspricht: Erlässt ein Versicherungsträger eine Verfügung, welche die Leistungspflicht eines anderen Trägers berührt, so hat er auch ihm die Verfügung zu eröffnen (Satz 1). Dieser kann die gleichen Rechtsmittel ergreifen wie die versicherte Person (Satz 2). Da das ATSG zur Zeit noch nicht in Kraft steht, könnte eingewendet werden, es bestehe de lege lata im Unterschied zu anderen Normen und Bereichen keine Bestimmung, welche der IV-Stelle die Verfügungseröffnung an die Vorsorgeeinrichtung vorschreibe. Indessen kommt der Pflicht zur Verfügungseröffnung nach dem in Erw. 4.1 hievor Gesagten nicht nur koordinationsrechtlicher Charakter zu, sondern sie ist wesentlich verfassungsrechtlich - durch das Gebot, das rechtliche Gehör zu gewähren - geprägt. Im Hinblick auf die verbindliche Wirkung der IV-rechtlichen Qualifikation, an der festzuhalten ist, sind die IV-Stellen - unmittelbar gestützt auf die verfassungsrechtliche Pflicht zur Gehörsgewährung - gehalten, die Vorsorgeeinrichtung(en) spätestens im Vorbescheidverfahren ( Art. 73bis IVV ) und nach dessen Ersetzung durch das Einspracheverfahren ab 1. Januar 2003 angelegentlich der Verfügungseröffnung in das IV−rechtliche Verfahren einzubeziehen. Wie den Unfallversicherer im Rahmen von Art. 129 UVV trifft auch die IV-Stelle die Pflicht, die involvierten oder als solche in Betracht fallenden Vorsorgeeinrichtungen zu ermitteln. Kommt die IV−Stelle diesen Pflichten zur Gehörsgewährung an die Vorsorgeeinrichtung nicht nach, vermag ihr Beschluss keine Bindungswirkung für die berufliche Vorsorge zu entfalten.</w:t>
      </w:r>
    </w:p>
    <w:p>
      <w:r>
        <w:rPr>
          <w:b/>
        </w:rPr>
        <w:t>E. 4.3</w:t>
      </w:r>
    </w:p>
    <w:p>
      <w:r>
        <w:t>Obwohl die Eingabe des Beschwerdegegners vom 14. Dezember 1998 einzig darauf zielte, den Eintritt der Arbeitsunfähigkeit mit Blick auf Ansprüche gegen die - letzte - Vorsorgeeinrichtung neu zu verlegen, sah die IV-Stelle von einem Einbezug der Beschwerdeführerin ebenso ab wie von einer Beiladung der Vorsorgeeinrichtung der Anstalt Y.________. Dieser Mangel des IV-rechtlichen Abklärungsverfahrens lässt sich im Berufsvorsorgeprozess nicht beseitigen. Er führt nach dem Gesagten dazu, dass die Festlegung der Arbeitsunfähigkeit von 50 % auf den 1. Dezember 1994 für die Vorsorgeeinrichtung auch aus formellen Gründen nicht verbindlich sein kann.</w:t>
      </w:r>
    </w:p>
    <w:p>
      <w:r>
        <w:rPr>
          <w:b/>
        </w:rPr>
        <w:t>E. 5</w:t>
      </w:r>
    </w:p>
    <w:p>
      <w:r>
        <w:t>Bei somit materiell- und formellrechtlich gebotener freier, nicht auf offensichtliche Unhaltbarkeit beschränkter Prüfung lässt sich der Eintritt einer Arbeitsunfähigkeit vor anfangs 1997, als der Beschwerdegegner durch Dr. med. B.________ erstmals untersucht und die Diagnose gestellt wurde, zeitlich nicht festlegen. Zusätzliche Abklärungsmassnahmen vermöchten daran nichts zu ändern. Lässt sich damit im Rahmen einer freien, nicht auf offensichtliche Unhaltbarkeit beschränkten Prüfung eine Arbeitsunfähigkeit während der Dauer des Vorsorgeverhältnisses (unter Einschluss der Nachdeckungsfrist) vom 1. September - 31. Dezember 1994 nicht beweisen, hat die Folgen der Beweislosigkeit der Beschwerdegegner zu tragen, der aus dem unbewiesen gebliebenen Umstand Rechte - den Anspruch auf eine Invalidenrente gegenüber der am Recht stehenden Vorsorgeeinrichtung - ableiten wollte ( BGE 117 V 264 Erw. 3b mit Hinweisen; statt vieler: Fritz Gygi, Bundesverwaltungsrechtspflege, Bern 1983, S. 282).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