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19/01 vom 10. Oktober 2003</w:t>
      </w:r>
    </w:p>
    <w:p>
      <w:r>
        <w:t>Bundesgericht, 2003-10-10, DE</w:t>
      </w:r>
    </w:p>
    <w:p>
      <w:r>
        <w:rPr>
          <w:b/>
        </w:rPr>
        <w:t xml:space="preserve">Quelle: </w:t>
      </w:r>
      <w:r>
        <w:t>https://mcp.opencaselaw.ch/entscheid/bger_B_19_01</w:t>
      </w:r>
    </w:p>
    <w:p>
      <w:r>
        <w:t>FR: TF B 19/01 du 10 octobre 2003</w:t>
      </w:r>
    </w:p>
    <w:p>
      <w:r>
        <w:t>IT: TF B 19/01 del 10 ottobre 2003</w:t>
      </w:r>
    </w:p>
    <w:p>
      <w:pPr>
        <w:pStyle w:val="Heading2"/>
      </w:pPr>
      <w:r>
        <w:t>Regeste</w:t>
      </w:r>
    </w:p>
    <w:p>
      <w:r>
        <w:t>Berufliche Vorsorge</w:t>
      </w:r>
    </w:p>
    <w:p>
      <w:pPr>
        <w:pStyle w:val="Heading2"/>
      </w:pPr>
      <w:r>
        <w:t>Erwägungen</w:t>
      </w:r>
    </w:p>
    <w:p>
      <w:r>
        <w:rPr>
          <w:b/>
        </w:rPr>
        <w:t>E. 1.1</w:t>
      </w:r>
    </w:p>
    <w:p>
      <w:r>
        <w:t>Die Zuständigkeit der in Art. 73 BVG genannten Gerichte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II 389 , 128 V 44 Erw. 1b, 258 Erw. 2a, 127 V 35 Erw. 3b mit Hinweisen).</w:t>
      </w:r>
    </w:p>
    <w:p>
      <w:r>
        <w:rPr>
          <w:b/>
        </w:rPr>
        <w:t>E. 1.2</w:t>
      </w:r>
    </w:p>
    <w:p>
      <w:r>
        <w:t>Wie das Eidgenössische Versicherungsgericht in BGE 128 V 41 entschieden hat, ist nach der mit der Einführung des neuen Scheidungsrechts durch den Gesetzgeber getroffenen Koordination zwischen Scheidungs- und Sozialversicherungsgericht (Art. 141/142 ZGB, Art. 25a FZG ) grundsätzlich die Zuständigkeit der Sozialversicherungsgerichte zur Beurteilung der Frage zu bejahen, ob während der Ehe eine gültige Barauszahlung durch die Vorsorgeeinrichtung erfolgt ist. Bei den Austrittsleistungen handelt es sich um Ansprüche aus Vorsorgeverhältnissen, die dem Freizügigkeitsgesetz unterstehen (Walser, Berufliche Vorsorge, in: Das neue Scheidungsrecht, Zürich 1999, S. 52), und für die im Falle der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(Geiser, Bemerkungen zum Verzicht auf den Versorgungsausgleich im neuen Scheidungsrecht [ Art. 123 ZGB ], in: ZBJV 2000 S. 104 Ziff. 6.3; Christian Zünd, Probleme im Zusammenhang mit der schriftlichen Zustimmung zur Barauszahlung der Austrittsleistung des nicht am Vorsorgeverhältnis beteiligten Ehegatten [ Art. 5 Abs. 2 und 3 FZG ], in: SZS 2000 S. 426). Entgegen der Auffassung der Beschwerdeführerin geht es nicht um einen schadenersatzrechtlichen Anspruch, sondern um die vorsorgerechtliche Frage, ob eine rechtmässige Barauszahlung im Sinne von Art. 5 Abs. 2 FZG vorliegt und welche vorsorgerechtlichen Folgen im Falle der Unzulässigkeit der Barauszahlung sich ergeben. Das kantonale Sozialversicherungsgericht hat damit zu Recht seine sachliche Zuständigkeit bejaht.</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2.2</w:t>
      </w:r>
    </w:p>
    <w:p>
      <w:r>
        <w:t>Nach dem Konzept der beruflichen Vorsorge, das in den Art. 3 und 4 des FZG zum Ausdruck kommt, soll der Vorsorgeschutz während der gesamten Aktivitätsdauer eines Versicherten aufrechterhalten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Dieser Abs. 2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vom 26. Februar 1992 zu einem Bundesgesetz über die Freizügigkeit in der beruflichen Alters-, Hinterlassenen- und Invalidenvorsorge,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Zünd, a.a.O., SZS 2000 S. 420 f.; ders., Schriftliche Zustimmung zur Barauszahlung der Austrittsleistung an Verheiratete und die Folgen bei gefälschter oder fehlender Unterschrift, in: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2.3</w:t>
      </w:r>
    </w:p>
    <w:p>
      <w:r>
        <w:t>Im vorliegenden Fall steht auf Grund des Schriftgutachtens der kriminaltechnischen Abteilung der Kantonspolizei Y.________ vom 26. September 2000 fest, dass die Unterschrift der Ehefrau auf dem Barauszahlungsgesuch gefälscht ist. Unter diesen Umständen ermangelte die Barauszahlung der Austrittsleistung vom 28. November 1996 durch die Beschwerdeführerin der tatsächlichen Zustimmung der Ehegattin des Versicherten.</w:t>
      </w:r>
    </w:p>
    <w:p>
      <w:r>
        <w:rPr>
          <w:b/>
        </w:rPr>
        <w:t>E. 3.1</w:t>
      </w:r>
    </w:p>
    <w:p>
      <w:r>
        <w:t>Es stellt sich die Frage, ob die Vorsorgeeinrichtung wegen der tatsächlich nicht vorhandenen Zustimmung der Ehegattin die Austrittsleistung durch Barauszahlung an den Ehemann nicht mit befreiender Wirkung erbringen konnte, mit der Folge, dass sie nochmals leisten muss, oder ob die Vorsorgeeinrichtung mit befreiender Wirkung leisten konnte, wenn sie nachweist, dass sie bei Beachtung der gebotenen Sorgfalt vom Vorliegen der Zustimmung der Ehefrau ausgehen durfte. Während das kantonale Gericht gestützt auf Art. 11 Abs. 2 OR und unter Hinweis auf Äusserungen im Schrifttum (Geiser, a. a. O., S. 102 f. und Zünd, a. a. O., SZS 2000 S. 422 f.) eine zusätzliche Zahlung an den anderen Ehegatten bejaht, ohne dass es auf das Verhalten der Pensionskasse ankäme, stellt sich die Beschwerdeführerin auf den Standpunkt, eine Doppelzahlung falle nur in Betracht, wenn sie ihre Sorgfaltspflicht verletzt habe.</w:t>
      </w:r>
    </w:p>
    <w:p>
      <w:r>
        <w:rPr>
          <w:b/>
        </w:rPr>
        <w:t>E. 3.2</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im Rahmen von Art. 5 Abs. 2 FZG eine andere Rechtsfolge als bei den verwandten Bestimmungen im Bürgschaftsrecht ( Art. 494 Abs. 1 und 3 OR ; BGE 106 II 161 ), zum Abzahlungsvertrag ( Art. 226b Abs. 1 und 3 OR ), im Mietrecht (Art. 266m in Verbindung mit Art. 266o OR ) und im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3.3</w:t>
      </w:r>
    </w:p>
    <w:p>
      <w:r>
        <w:t>Mit der Barauszahlung an ihren Versicherten anstelle der Überweisung auf ein Freizügigkeitskonto hat die Beschwerdeführerin die Austrittsleistung nicht gehörig erbracht. Nach der Einleitung des Reglementes Ausgabe 1995 wird der Vorsorgeplan der Beschwerdeführerin als "Leistungsprimatplan" gemäss Art. 16 FZG geführt, wobei mindestens die Minimalleistungen gemäss BVG zu erbringen sind. Bei der Beschwerdeführerin handelt es sich somit um eine sogenannt umhüllende Kasse, welche die weitergehende Vorsorge unter Einschluss des BVG betreibt. Im Bereich der weitergehenden Vorsorge wird das Rechtsverhältnis zwischen der Vorsorgeeinrichtung und dem Vorsorgenehmer durch einen privatrechtlichen Vorsorgevertrag begründet, der rechtsdogmatisch den Innominatsverträgen zuzuordnen ist ( BGE 129 III 307 mit Hinweis auf BGE 118 V 232 Erw. 4b und 122 V 145 Erw. 4b). Bei nicht gehöriger Erfüllung dieses Vorsorgevertrages gelangen daher die in Art. 97 ff. OR festgelegten Regeln zur Anwendung. Nach Art. 97 Abs. 1 OR hat der Schuldner, wenn die Erfüllung der Verbindlichkeit überhaupt nicht oder nicht gehörig bewirkt werden kann, für den daraus entstehenden Schaden Ersatz zu leisten, sofern er nicht beweist, dass ihm keinerlei Verschulden zur Last falle. Gemäss Art. 99 Abs. 1 OR haftet der Schuldner im allgemeinen für jedes Verschulden. Im Rahmen dieser Bestimmung genügt in verschuldensmässiger Hinsicht leichte Fahrlässigkeit (Wiegand, Basler Kommentar, 3. Auflage, N 6 zu Art. 99 OR ). Eine solche ist bei geringfügiger Verletzung der erforderlichen Sorgfalt gegeben (Heinz Rey, Ausservertragliches Haftpflichtrecht, 3. Auflage Zürich 2003 Rz. 863), das heisst, wenn vom Sorgfaltsmassstab, den eine gewissenhafte und sachkundige Einrichtung der beruflichen Vorsorge in einer vergleichbaren Lage bei der Erfüllung der ihr übertragenen Aufgaben beachten würde, abgewichen wird (vgl. BGE 128 V 132 Erw. 4e; Wiegand, a.a.O., N 9 zu Art. 99 OR ). Im Folgenden ist daher zu beurteilen, ob der Beschwerdeführerin eine Verletzung der ihr zukommenden Sorgfaltspflicht vorgeworfen werden kann, weil sie die (gefälschte) Unterschrift auf dem Auszahlungsformular nicht überprüft hat. Diese Frage ist aufgrund der konkreten Umstände des Einzelfalles zu prüfen.</w:t>
      </w:r>
    </w:p>
    <w:p>
      <w:r>
        <w:rPr>
          <w:b/>
        </w:rPr>
        <w:t>E. 3.4</w:t>
      </w:r>
    </w:p>
    <w:p>
      <w:r>
        <w:t>Aufgrund der Akten ist davon auszugehen, dass der Beschwerdeführerin die Unterschrift der Ehefrau des Versicherten nicht bekannt war. Nachdem das Barauszahlungsgesuch am 20. November 1996 gestellt worden war, hat die Beschwerdeführerin die eingereichten Unterlagen betreffend Aufnahme der selbstständigen Erwerbstätigkeit geprüft. Hingegen hat sie unbestrittenermassen hinsichtlich der Zustimmung der Ehegattin keine weiteren Schritte unternommen, sondern auf die vermeintliche Unterschrift abgestellt. In diesem Zusammenhang ist in Betracht zu ziehen, dass der Beschwerdeführerin der Versicherte, welcher jahrelang als Vizedirektor mit guten Arbeitszeugnissen und damit in einer Vertrauensstellung bei der Stifterfirma tätig war, bekannt war. Sie durfte unter diesen Umständen auf dessen Seriosität vertrauen, zumal es sich um die firmeneigene Pensionskasse mit überschaubaren Verhältnissen handelte. Ferner ist zu berücksichtigen, dass die Einrichtungen der beruflichen Vorsorge zum damaligen Zeitpunkt die Unterschriften der Ehegatten in der Regel nicht überprüften. Das Bundesamt für Sozialversicherung wies erstmals in den Mitteilungen über die berufliche Vorsorge Nr. 51 vom 22. Juni 2000 in Rz 302 auf in der Vergangenheit vorgekommene Missbräuche hin und mahnte die Einrichtungen der beruflichen Vorsorge zur Vorsicht. Angesichts dieser Umstände, namentlich der beruflichen Stellung des Versicherten, musste die Beschwerdeführerin nicht damit rechnen, dass der Versicherte die Unterschrift seiner Ehegattin fälscht und sie durch ein strafbares Verhalten zur Barauszahlung veranlasst. Der Beschwerdeführerin kann mithin keine Verletzung der Sorgfaltspflicht vorgeworfen werden. Anders verhielte es sich, wenn eine Einrichtung der beruflichen Vorsorge nach dem Hinweis in der erwähnten bundesamtlichen Mitteilung Nr. 51 vom 22. Juni 2000 unbesehen auf eine ihr nicht bekannte Unterschrift der Ehegattin eines Versicherten abgestellt hätte.</w:t>
      </w:r>
    </w:p>
    <w:p>
      <w:r>
        <w:rPr>
          <w:b/>
        </w:rPr>
        <w:t>E. 3.5</w:t>
      </w:r>
    </w:p>
    <w:p>
      <w:r>
        <w:t>Zusammenfassend ist festzuhalten, dass die Beschwerdegegnerinnen keinen Anspruch auf die Austrittsleistung haben, da die Beschwerdeführerin anlässlich der Barauszahlung ihre Sorgfaltspflicht nicht verletzt hat. Dies führt zur Gutheissung der Verwaltungsgerichtsbeschwerde und zur Abweisung der Klage vom 17. November 1999.</w:t>
      </w:r>
    </w:p>
    <w:p>
      <w:r>
        <w:rPr>
          <w:b/>
        </w:rPr>
        <w:t>E. 4</w:t>
      </w:r>
    </w:p>
    <w:p>
      <w:r>
        <w:t>Die Beschwerdeführerin hat als obsiegende mit öffentlichrechtlichen Aufgaben betraute Organisation keinen Anspruch auf Parteientschädigung ( BGE 126 V 143 ).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