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17/00 vom 12. Juli 2002</w:t>
      </w:r>
    </w:p>
    <w:p>
      <w:r>
        <w:t>Bundesgericht, 2002-07-12, DE</w:t>
      </w:r>
    </w:p>
    <w:p>
      <w:r>
        <w:rPr>
          <w:b/>
        </w:rPr>
        <w:t xml:space="preserve">Quelle: </w:t>
      </w:r>
      <w:r>
        <w:t>https://mcp.opencaselaw.ch/entscheid/bger_B_17_00</w:t>
      </w:r>
    </w:p>
    <w:p>
      <w:r>
        <w:t>FR: TF B 17/00 du 12 juillet 2002</w:t>
      </w:r>
    </w:p>
    <w:p>
      <w:r>
        <w:t>IT: TF B 17/00 del 12 luglio 2002</w:t>
      </w:r>
    </w:p>
    <w:p>
      <w:pPr>
        <w:pStyle w:val="Heading2"/>
      </w:pPr>
      <w:r>
        <w:t>Regeste</w:t>
      </w:r>
    </w:p>
    <w:p>
      <w:r>
        <w:t>Berufliche Vorsorge</w:t>
      </w:r>
    </w:p>
    <w:p>
      <w:pPr>
        <w:pStyle w:val="Heading2"/>
      </w:pPr>
      <w:r>
        <w:t>Erwägungen</w:t>
      </w:r>
    </w:p>
    <w:p>
      <w:r>
        <w:rPr>
          <w:b/>
        </w:rPr>
        <w:t>E. 1</w:t>
      </w:r>
    </w:p>
    <w:p>
      <w:r>
        <w:t>Eine der Voraussetzungen für den von der Beschwerdeführerin geltend gemachten Leistungsanspruch besteht darin, dass während der Dauer des Versicherungsverhältnisses, mithin während der Anstellung in der Schule X.________ bis zum Ablauf der 31-tägigen Nachdeckungsfrist am 1. Oktober 1989 eine Arbeitsunfähigkeit eingetreten ist, deren Ursache schliesslich zur Invalidität geführt hat. Hinsichtlich der diesbezüglichen rechtlichen Grundlagen gemäss Gesetz ( Art. 23 BVG ) und statutarischen Bestimmungen der beschwerdegegnerischen Vorsorgeeinrichtung (Art. 26 und 74 der zur Zeit der Auflösung des Versicherungsverhältnisses gültig gewesenen Statuten) wird auf die Ausführungen im angefochtenen kantonalen Entscheid verwiesen.</w:t>
      </w:r>
    </w:p>
    <w:p>
      <w:r>
        <w:rPr>
          <w:b/>
        </w:rPr>
        <w:t>E. 2</w:t>
      </w:r>
    </w:p>
    <w:p>
      <w:r>
        <w:t>a) Die Vorinstanz ist in eingehender Würdigung der vorhandenen ärztlichen Berichte zum Schluss gelangt, dass der streitige Eintritt der Arbeitsunfähigkeit in der relevanten Zeitspanne zwar möglich wäre, nicht aber mit dem im Sozialversicherungsrecht allgemein erforderlichen Beweisgrad der überwiegenden Wahrscheinlichkeit ( BGE 126 V 360 Erw. 5b, 125 V 195 Erw. 2, je mit Hinweisen) als erstellt gelten kann. b) Wie die Beschwerdegegnerin in ihrer Vernehmlassung vom 10. März 2000 zutreffend feststellt, werden in der Verwaltungsgerichtsbeschwerde weder neue, vom kantonalen Gericht nicht berücksichtigte Tatsachen vorgebracht, noch begründet die dortige Argumentation von der vorinstanzlichen Betrachtungsweise abweichende Erkenntnisse. Indem sich die Beschwerdeführerin darauf beschränkt, aus den Akten ausschliesslich ihre Auffassung stützende Gesichtspunkte herauszusuchen, vermag sie die ausgewogene und deshalb in jeder Hinsicht überzeugendere Gesamtbeurteilung des kantonalen Gerichts nicht in Frage zu stellen. Wenn auch nicht auszuschliessen ist, dass sich zumindest in qualitativer Hinsicht schon während der Dauer des Versicherungsverhältnisses eine Arbeitsunfähigkeit manifestiert hat, ist der Vorinstanz doch darin beizupflichten, dass von einer überwiegenden Wahrscheinlichkeit eines solchen Geschehensablaufs nicht gesprochen werden kann. Nach den im kantonalen Entscheid ausführlich dargelegten beweisrechtlichen Grundsätzen muss es angesichts der nicht mehr genauer eruierbaren sachverhaltlichen Gegebenheiten damit sein Bewenden haben, dass der von der Beschwerdeführerin eingenommene Standpunkt - vorab wegen der sich zu ihren Ungunsten auswirkenden Beweisschwierigkeiten (vgl. BGE 117 V 264 Erw. 3b mit Hinweisen) - nicht geschützt werden kann. Demnach erkennt das Eidg. Versicherungsgericht: I. Die Verwaltungsgerichtsbeschwerde wird abgewiesen. II. Es werden keine Gerichtskosten erhoben. III. Dieses Urteil wird den Parteien, dem Sozialversicherungsgericht des Kantons Zürich und dem Bundesamt für Sozialversicherung zugestellt. Luzern, 12. Juli 2002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