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121/06 vom 7. Mai 2007</w:t>
      </w:r>
    </w:p>
    <w:p>
      <w:r>
        <w:t>Bundesgericht, 2007-05-07, DE</w:t>
      </w:r>
    </w:p>
    <w:p>
      <w:r>
        <w:rPr>
          <w:b/>
        </w:rPr>
        <w:t xml:space="preserve">Quelle: </w:t>
      </w:r>
      <w:r>
        <w:t>https://mcp.opencaselaw.ch/entscheid/bger_B_121_06</w:t>
      </w:r>
    </w:p>
    <w:p>
      <w:r>
        <w:t>FR: TF B 121/06 du 7 mai 2007</w:t>
      </w:r>
    </w:p>
    <w:p>
      <w:r>
        <w:t>IT: TF B 121/06 del 7 maggio 2007</w:t>
      </w:r>
    </w:p>
    <w:p>
      <w:pPr>
        <w:pStyle w:val="Heading2"/>
      </w:pPr>
      <w:r>
        <w:t>Regeste</w:t>
      </w:r>
    </w:p>
    <w:p>
      <w:r>
        <w:t>Berufliche Vorsorge | Berufliche Vorsorge</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Das Bundesgericht überprüft auch die Auslegung des kantonalen Berufsvorsorgerechts frei ( BGE 116 V 333 E. 2b).</w:t>
      </w:r>
    </w:p>
    <w:p>
      <w:r>
        <w:rPr>
          <w:b/>
        </w:rPr>
        <w:t>E. 2</w:t>
      </w:r>
    </w:p>
    <w:p>
      <w:r>
        <w:t>Streitig und zu prüfen ist, ob der Beschwerdeführer anstelle der ihm von der Kantonalen Lehrerversicherungskasse seit 1. März 2005 ausgerichteten Invalidenleistungen eine Altersrente beanspruchen und sich einen Viertel seines Altersguthabens als einmalige Kapitalabfindung ausbezahlen lassen kann.</w:t>
      </w:r>
    </w:p>
    <w:p>
      <w:r>
        <w:rPr>
          <w:b/>
        </w:rPr>
        <w:t>E. 2.1</w:t>
      </w:r>
    </w:p>
    <w:p>
      <w:r>
        <w:t>Nach Art. 37 Abs. 2 BVG (in der seit 1. Januar 2005 geltenden Fassung) kann der Versicherte verlangen, dass ihm ein Viertel seines Altersguthabens, das für die Berechnung der tatsächlich bezogenen Altersleistungen massgebend ist, als einmalige Kapitalabfindung ausgerichtet wird. In ihrem Reglement kann die Vorsorgeeinrichtung laut Art. 37 Abs. 4 lit. a BVG (in der seit 1. Januar 2005 geltenden Fassung) vorsehen, dass die Anspruchsberechtigten eine Kapitalabfindung anstelle einer Alters-, Hinterlassenen- oder Invalidenrente wählen können. Die im vorliegenden Fall massgebende Verordnung über die Lehrerversicherungskasse des Kantons St. Gallen vom 13. November 1990 (sGS 213.550, im Folgenden: Verordnung) räumt keinen über Art. 37 Abs. 2 BVG hinaus gehenden Anspruch auf die Ausrichtung einer Kapitalabfindung ein. Nach Art. 26 der Verordnung hat der Rentenversicherte nach erfülltem 63. Altersjahr Anspruch auf eine Altersrente, wenn das Dienstverhältnis nicht verlängert wird (Abs. 1). Scheidet ein Rentenversicherter nach erfülltem 60. Altersjahr infolge besonderer Verhältnisse, insbesondere wegen verminderter Arbeitsfähigkeit oder aus dienstlichen Gründen aus, so kann ihm das Erziehungsdepartement seine Altersrente vorzeitig zusprechen (Abs. 2). Art. 45bis Abs. 1 der Verordnung wiederum, der den Anspruch auf eine Invalidenrente regelt, bestimmt, dass ein Rentenversicherter, der infolge Krankheit oder Unfalls erwerbsunfähig geworden ist und deshalb seine bisherige oder eine andere zumutbare Tätigkeit nicht mehr oder nicht mehr voll ausüben kann, Anspruch auf eine lebenslängliche Invalidenrente hat.</w:t>
      </w:r>
    </w:p>
    <w:p>
      <w:r>
        <w:rPr>
          <w:b/>
        </w:rPr>
        <w:t>E. 2.2</w:t>
      </w:r>
    </w:p>
    <w:p>
      <w:r>
        <w:t>In Auslegung dieser kantonalen Verordnungsbestimmungen gelangte die Vorinstanz zum Schluss, die Voraussetzungen für die Zusprechung einer vorzeitigen Altersrente nach Art. 26 Abs. 2 seien nicht erfüllt, da der Versicherte nicht vermindert arbeitsfähig, sondern seit dem Unfall voll erwerbsunfähig sei. Anwendbar sei daher Art. 45bis der Verordnung. Für die Auffassung des Versicherten, dass er sich auch bei Vorliegen vollständiger Erwerbsunfähigkeit gestützt auf Art. 26 Abs. 2 der Verordnung für die Ausrichtung einer Altersrente anstelle der Invalidenrente entscheiden kann, bestehe mit Rücksicht auf Art. 45bis Abs. 1 kein Raum. Diese Bestimmung beziehe sich ausdrücklich auf die Erwerbsunfähigkeit und räume dem dauernd erwerbsunfähig gewordenen Versicherten Anspruch auf eine Invalidenrente ein. Da Art. 26 Abs. 2 der Verordnung auf die Arbeitsunfähigkeit abstelle, Art. 45bis Abs. 1 hingegen auf die Erwerbsunfähigkeit, und diese Begriffe klar auseinanderzuhalten seien, sei ein Wahlrecht zwischen Invaliden- und Altersrente, wie es dem Beschwerdeführer vorschwebt, ausgeschlossen.</w:t>
      </w:r>
    </w:p>
    <w:p>
      <w:r>
        <w:rPr>
          <w:b/>
        </w:rPr>
        <w:t>E. 2.3</w:t>
      </w:r>
    </w:p>
    <w:p>
      <w:r>
        <w:t>Dieser Auffassung ist beizupflichten. Soweit der Beschwerdeführer geltend macht, er erfülle die Anforderungen für die vorzeitige Zusprechung der Altersrente gemäss Art. 26 Abs. 2 der Verordnung, kann ihm nicht gefolgt werden. Der Fall, in dem volle Arbeitsunfähigkeit mit anschliessender Erwerbsunfähigkeit eintritt, ist in Art. 45bis Abs. 1 der Verordnung geregelt, in dem für die Rentenversicherten ein Invalidenrentenanspruch vorgesehen ist. Demgegenüber bestimmt Art. 26 Abs. 2 der Verordnung, dass einem über 60-jährigen Rentenversicherten insbesondere wegen verminderter Arbeitsfähigkeit die Altersrente vorzeitig zugesprochen werden kann. Der Wortlaut der Bestimmung zeigt, dass kein Anspruch auf die Ausrichtung einer vorzeitigen Altersrente besteht, aber auch, dass die Rente nicht an eine Invalidität anknüpft und eine (teilweise) Arbeitsunfähigkeit nur einen der Gründe darstellt, aus welchem das Erziehungsdepartement dem Versicherten die Altersrente vorzeitig zusprechen kann. Wie die Vorinstanz unter Hinweis auf die Legaldefinitionen der Arbeits- und Erwerbsunfähigkeit in Art. 6 und 7 ATSG , welche als Abbild der früheren Rechtsprechung auch im Bereich der beruflichen Vorsorge herangezogen werden können, für die das ATSG nicht gilt, dargelegt hat, steht im vorliegenden Fall nicht eine verminderte Arbeitsfähigkeit, sondern eine unfallbedingte, vollständige Erwerbsunfähigkeit in Frage, welche zum Anspruch auf eine Invalidenrente der Kantonalen Lehrerversicherungskasse ab Ausrichtung der Invalidenrente der Eidgenössischen Invalidenversicherung führt (Art. 45bis Abs. 2 der Verordnung). Die weiteren Ausführungen des Beschwerdeführers sind ebenfalls nicht geeignet, zu einem abweichenden Ergebnis zu führen. Entscheidend ist, dass er wegen der Unfallfolgen ab 1. März 2005 Anspruch auf eine Invalidenrente hat. Dass er, wie er geltend macht, bereits zu einem früheren Datum arbeitsunfähig war, trifft zu, bedeutet aber nicht, dass deswegen Art. 26 Abs. 2 der Verordnung Anwendung findet. Vielmehr setzt Erwerbsunfähigkeit im Sinne von Art. 45bis der Verordnung das Bestehen einer Arbeitsunfähigkeit voraus. Würde die Ansicht des Beschwerdeführers zutreffen, hätten Rentenversicherte bei invaliditätsbedingtem Ausscheiden nach erfülltem 60. Altersjahr in keinem Fall mehr Anspruch auf eine Invalidenrente, weil alsdann zufolge verminderter Arbeitsfähigkeit nach Art. 26 Abs. 2 der Verordnung vorzeitig eine Altersrente zuzusprechen wäre. Ein solches Ergebnis dürfte indessen kaum den Absichten des Regierungsrates des Kantons St. Gallen als Verordnungsgeber entsprechen und liefe der Systematik der Verordnung zuwider. Diese unterscheidet zwischen Altersleistungen, Hinterlassenenleistungen und Invalidenleistungen und sieht die Ausrichtung einer vorzeitigen Altersrente lediglich unter bestimmten Voraussetzungen nach pflichtgemässen Ermessen des Erziehungsdepartements vor. Die Ausführungen im angefochtenen Urteil vermögen beim Beschwerdeführer den Eindruck erweckt haben, nach Ansicht der Vorinstanz würde die Anwendung von Art. 45bis der Verordnung die Anwendung von Art. 26 Abs. 2 in jedem Fall ausschliessen. Das wäre insofern missverständlich, als Art. 45bis auch bei teilweiser Invalidität eine (Teil)Rente vorsieht und gerade für solche Fälle bei vorzeitigem Rücktritt gemäss Art. 26 Abs. 2 der Verordnung eine ergänzende Altersrente in Frage kommen dürfte, die dann im Rahmen von Art. 37 Abs. 2 BVG als Kapital bezogen werden kann. Dies ist aber im vorliegenden Fall nicht von Bedeutung, da der Beschwerdeführer voll invalid ist und deshalb nur eine Invalidenrente, aber keine Altersrente beziehen kann.</w:t>
      </w:r>
    </w:p>
    <w:p>
      <w:r>
        <w:rPr>
          <w:b/>
        </w:rPr>
        <w:t>E. 3</w:t>
      </w:r>
    </w:p>
    <w:p>
      <w:r>
        <w:t>Da der Beschwerdeführer keinen Anspruch auf eine Altersrente hat, entfällt auch der Anspruch auf Auszahlung eines Viertels des Altersguthabens als einmalige Kapitalabfindung gestützt auf Art. 37 Abs. 2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