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100/00 vom 16. Februar 2001</w:t>
      </w:r>
    </w:p>
    <w:p>
      <w:r>
        <w:t>Bundesgericht, 2001-02-16, FR</w:t>
      </w:r>
    </w:p>
    <w:p>
      <w:r>
        <w:rPr>
          <w:b/>
        </w:rPr>
        <w:t xml:space="preserve">Quelle: </w:t>
      </w:r>
      <w:r>
        <w:t>https://mcp.opencaselaw.ch/entscheid/bger_B_100_00</w:t>
      </w:r>
    </w:p>
    <w:p>
      <w:r>
        <w:t>FR: TF B 100/00 du 16 février 2001</w:t>
      </w:r>
    </w:p>
    <w:p>
      <w:r>
        <w:t>IT: TF B 100/00 del 16 febbraio 2001</w:t>
      </w:r>
    </w:p>
    <w:p>
      <w:pPr>
        <w:pStyle w:val="Heading2"/>
      </w:pPr>
      <w:r>
        <w:t>Regeste</w:t>
      </w:r>
    </w:p>
    <w:p>
      <w:r>
        <w:t>Prévoyance professionnelle</w:t>
      </w:r>
    </w:p>
    <w:p>
      <w:pPr>
        <w:pStyle w:val="Heading2"/>
      </w:pPr>
      <w:r>
        <w:t>Erwägungen</w:t>
      </w:r>
    </w:p>
    <w:p>
      <w:r>
        <w:rPr>
          <w:b/>
        </w:rPr>
        <w:t>E. 1</w:t>
      </w:r>
    </w:p>
    <w:p>
      <w:r>
        <w:t>a) Ont droit à des prestations d'invalidité les invalides qui étaient assurés lors de la survenance de l'incapacité de travail dont la cause est à l'origine de l'invalidité (art. 23, 2e partie de la phrase, LPP). Selon la jurisprudence, l'événement assuré au sens de l' 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 art. 26 al. 3 LPP ( ATF 123 V 263 consid. 1a, 118 V 45 consid. 5). L'incapacité de travail est la perte ou la diminution de la capacité de rendement de l'assuré dans sa profession ou son champ d'activités habituelles. Pour être prise en considération, la diminution du rendement professionnel doit être sensible et indiscutable; en outre, cet état de fait doit être durable ( ATF 105 V 159 consid. 2a). b) Conformément à l' art. 26 al. 1 LPP , les dispositions de la LAI ( art. 29 LAI ) s'appliquent par analogie à la naissance du droit aux prestations d'invalidité. Si une institution de prévoyance reprend - explicitement ou par renvoi - la définition de l'invalidité de la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de manière sensible et durable ( ATF 123 V 271 consid. 2a et les références citées; CHRISTIAN ZÜND, Enge Bindung der Vorsorgeeinrichtungen an die Feststellungen der IV-Organe - jedoch ohne Verfahrensbeteiligung : Wie lange noch ? in RSAS 2001, p. 34). Il est admis en l'espèce que l'invalidité selon le règlement de l'institution de prévoyance est identique à la notion d'invalidité selon la LAI. c) Selon l' art. 10 al. 2 LPP , l'obligation d'être assuré cesse, entre autres éventualités, en cas de dissolution des rapports de travail. Toutefois, pendant trente jours après la dissolution des rapports de travail, le salarié demeure assuré auprès de l'ancienne institution de prévoyance pour les risques de décès et d'invalidité ( art. 10 al. 3 LPP , dans sa version, déterminant en l'occurrence, en vigueur jusqu'au 31 décembre 1994). Le règlement de la caisse reprend la même réglementation (art. 10).</w:t>
      </w:r>
    </w:p>
    <w:p>
      <w:r>
        <w:rPr>
          <w:b/>
        </w:rPr>
        <w:t>E. 2</w:t>
      </w:r>
    </w:p>
    <w:p>
      <w:r>
        <w:t>Comme l'ont admis avec raison les premiers juges, il n'y a pas de motifs de s'écarter de l'appréciation des organes de l'assurance-invalidité selon laquelle le recourant a présenté une incapacité de travail invalidante à partir du mois de juin 1993 (cf. l' art. 29 al. 1 let. b LAI ), soit postérieurement à la période de couverture d'assurance selon l' art. 10 al. 3 LPP . Tout d'abord, on cherche vainement au dossier un indice qui permettrait d'admettre que la résiliation des rapports de travail a été motivée par des raisons de santé. Le recourant admet au contraire que son contrat de travail a été résilié par l'employeur pour des motifs purement économiques. Il ressort en outre des pièces que l'assuré a été absent pour cause de maladie pendant douze jours en 1989 et dix-huit jours en 1991. En revanche, aucune absence n'a été relevée pour ce motif en 1990 et 1992. On peut en déduire qu'au moment où il a cessé le travail, le recourant ne subissait pas d'incapacité de travail. Enfin, il n'apparaît pas - et cela n'est du reste pas allégué - que l'état de santé du recourant se soit subitement aggravé au point d'entraîner une incapacité de travail pendant le délai de prolongation de l'assurance de trente jours. Que le recourant ait connu des troubles de santé à partir de 1989, sous la forme de lombalgies, n'est à cet égard pas décisif. Contrairement à ce qu'il semble croire, en effet, ce n'est pas l'apparition comme telle des troubles qui constitue l'événement assuré au sens de l' art. 23 LPP , mais bien la survenance d'une incapacité de travail ou d'une diminution de rendement d'une certaine importance, soit 20 pour cent en moins (VSI 1998 p. 126). Quant aux périodes susmentionnées d'incapacité de travail, relativement brèves et très espacées dans le temps, elles ne suffisent pas à fonder la responsabilité de la caisse (cf. ATF 123 V 264 consid.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