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9G 3/2024 vom 12. August 2024</w:t>
      </w:r>
    </w:p>
    <w:p>
      <w:r>
        <w:t>Bundesgericht, 2024-08-12, DE</w:t>
      </w:r>
    </w:p>
    <w:p>
      <w:r>
        <w:rPr>
          <w:b/>
        </w:rPr>
        <w:t xml:space="preserve">Quelle: </w:t>
      </w:r>
      <w:r>
        <w:t>https://mcp.opencaselaw.ch/entscheid/bger_9G_3_2024</w:t>
      </w:r>
    </w:p>
    <w:p>
      <w:r>
        <w:t>FR: TF 9G 3/2024 du 12 août 2024</w:t>
      </w:r>
    </w:p>
    <w:p>
      <w:r>
        <w:t>IT: TF 9G 3/2024 del 12 agosto 2024</w:t>
      </w:r>
    </w:p>
    <w:p>
      <w:pPr>
        <w:pStyle w:val="Heading2"/>
      </w:pPr>
      <w:r>
        <w:t>Regeste</w:t>
      </w:r>
    </w:p>
    <w:p>
      <w:r>
        <w:t>Invalidenversicherung | Invalidenversicherung</w:t>
      </w:r>
    </w:p>
    <w:p>
      <w:pPr>
        <w:pStyle w:val="Heading2"/>
      </w:pPr>
      <w:r>
        <w:t>Erwägungen</w:t>
      </w:r>
    </w:p>
    <w:p>
      <w:r>
        <w:rPr>
          <w:b/>
        </w:rPr>
        <w:t>E. 1</w:t>
      </w:r>
    </w:p>
    <w:p>
      <w:r>
        <w:t>Gemäss Art. 129 BGG nimmt das Bundesgericht, sofern das Dispositiv eines bundesgerichtlichen Entscheids unklar, unvollständig oder zweideutig ist, seine Bestimmungen untereinander oder mit der Begründung im Widerspruch stehen oder es Redaktions- oder Rechnungsfehler enthält, auf schriftliches Gesuch einer Partei oder von Amtes wegen die Erläuterung oder Berichtigung vor (Abs. 1). Die Erläuterung eines Rückweisungsentscheids ist nur zulässig, solange die Vorinstanz nicht den neuen Entscheid getroffen hat (Abs. 2).</w:t>
      </w:r>
    </w:p>
    <w:p>
      <w:r>
        <w:rPr>
          <w:b/>
        </w:rPr>
        <w:t>E. 2</w:t>
      </w:r>
    </w:p>
    <w:p>
      <w:r>
        <w:t>Wenn das Dispositiv eines Urteils des Bundesgerichts sich nicht zu den Kosten- und Entschädigungsfolgen des kantonalen Verfahrens äussert, obschon das Bundesgericht den angefochtenen Entscheid aufgehoben und die Sache zur neuen Entscheidung an die Verwaltung zurückgewiesen hat, gilt dies praxisgemäss als Versehen, das im Berichtigungsverfahren zu korrigieren ist (vgl. Urteile 1G_1/2023 vom 23. Februar 2023 E. 2; 2G_1/2021 vom 9. April 2021 E. 3.2; 1G_3/2020 vom 24. November 2020 E. 2; 1G_2/2018 vom 14. März 2018 E. 2).</w:t>
      </w:r>
    </w:p>
    <w:p>
      <w:r>
        <w:rPr>
          <w:b/>
        </w:rPr>
        <w:t>E. 3</w:t>
      </w:r>
    </w:p>
    <w:p>
      <w:r>
        <w:t>Das Bundesgericht hat im Urteil 9C_641/2023 vom 31. Januar 2024 die Sache an die Verwaltung zur neuen Entscheidung zurückgewiesen, ohne sich über die Kosten- und Entschädigungsfolgen des kantonalen Verfahrens auszusprechen. Dieses Versehen ist zu korrigieren und das Urteil 9C_641/2023 um eine Dispositivziffer zu ergänzen, wonach die Sache zur Verlegung der Kosten- und Entschädigungsfolgen an die Vorinstanz zurückgewiesen wird.</w:t>
      </w:r>
    </w:p>
    <w:p>
      <w:r>
        <w:rPr>
          <w:b/>
        </w:rPr>
        <w:t>E. 4</w:t>
      </w:r>
    </w:p>
    <w:p>
      <w:r>
        <w:t>Bei diesem Ausgang des Verfahrens sind keine Gerichtskosten zu erheben (Art. 66 Abs. 1 in fine BGG). Ferner hat der Gesuchsteller Anspruch auf eine Entschädigung aus der Gerichtskasse (Art. 68 Abs. 4 i.V.m.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