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9G 3/2014 vom 26. August 2014</w:t>
      </w:r>
    </w:p>
    <w:p>
      <w:r>
        <w:t>Bundesgericht, 2014-08-26, DE</w:t>
      </w:r>
    </w:p>
    <w:p>
      <w:r>
        <w:rPr>
          <w:b/>
        </w:rPr>
        <w:t xml:space="preserve">Quelle: </w:t>
      </w:r>
      <w:r>
        <w:t>https://mcp.opencaselaw.ch/entscheid/bger_9G_3_2014</w:t>
      </w:r>
    </w:p>
    <w:p>
      <w:r>
        <w:t>FR: TF 9G 3/2014 du 26 août 2014</w:t>
      </w:r>
    </w:p>
    <w:p>
      <w:r>
        <w:t>IT: TF 9G 3/2014 del 26 agosto 2014</w:t>
      </w:r>
    </w:p>
    <w:p>
      <w:pPr>
        <w:pStyle w:val="Heading2"/>
      </w:pPr>
      <w:r>
        <w:t>Regeste</w:t>
      </w:r>
    </w:p>
    <w:p>
      <w:r>
        <w:t>Berufliche Vorsorge | Berufliche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Ist das Dispositiv eines bundesgerichtlichen Entscheids unklar, unvollständig oder zweideutig, stehen seine Bestimmungen untereinander oder mit der Begründung im Widerspruch oder enthält es Redaktions- oder Rechnungsfehler, so nimmt das Bundesgericht auf schriftliches Gesuch einer Partei oder von Amtes wegen die Erläuterung oder Berichtigung vor ( Art. 129 Abs. 1 BGG ). Die Berichtigung erstreckt sich unter anderem auf offensichtliche Redaktionsfehler ( BGE 110 V 222 E. 1 S. 222 f.; Ferrari, in: Commentaire de la LTF, 2. Aufl., Bern 2009, N 6 zu Art. 129 BGG ).</w:t>
      </w:r>
    </w:p>
    <w:p>
      <w:r>
        <w:rPr>
          <w:b/>
        </w:rPr>
        <w:t>E. 2</w:t>
      </w:r>
    </w:p>
    <w:p>
      <w:r>
        <w:t>Im Urteil 9C_492/2013 vom 2. Juli 2014 wurde in E. 7 die Kosten- und Entschädigungspflicht des Beschwerdeführers festgehalten. In Dispositiv-Ziff. 2 und 3 setzte das Bundesgericht die Gerichtskosten auf Fr. 50'000.-- und die Parteientschädigung an die obsiegende Beschwerdegegnerin auf Fr. 2'800.-- fest. Damit stehen Ziff. 2 und 3 des Urteilsdispositivs in einem inneren Widerspruch, weil es ausgeschlossen ist, in einer nicht der erleichterten Kostenpflicht unterliegenden Streitigkeit betreffend Sozialversicherungsleistungen ( Art. 65 Abs. 4 lit. a BGG ) bei Erhebung einer streitwertbezogenen Gerichtsgebühr ( Art. 65 Abs. 2 BGG ) die Parteientschädigung nicht ebenfalls nach dem Streitwert zu bemessen. Daher handelt es sich bei Dispositiv-Ziff. 3 um ein offensichtliches Versehen. Dieser offensichtliche Redaktionsfehler wird hiermit berichtigt.</w:t>
      </w:r>
    </w:p>
    <w:p>
      <w:r>
        <w:rPr>
          <w:b/>
        </w:rPr>
        <w:t>E. 3</w:t>
      </w:r>
    </w:p>
    <w:p>
      <w:r>
        <w:t>Es werden keine Gerichtsgebühren erhoben und der Gesuchstellerin ist für dieses Berichtigungsverfahren eine Entschädigung aus der Gerichtskasse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