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9G_3/2009 vom 10. Dezember 2009</w:t>
      </w:r>
    </w:p>
    <w:p>
      <w:r>
        <w:t>Bundesgericht, 2009-12-10, FR</w:t>
      </w:r>
    </w:p>
    <w:p>
      <w:r>
        <w:rPr>
          <w:b/>
        </w:rPr>
        <w:t xml:space="preserve">Quelle: </w:t>
      </w:r>
      <w:r>
        <w:t>https://mcp.opencaselaw.ch/entscheid/bger_9G_3_2009</w:t>
      </w:r>
    </w:p>
    <w:p>
      <w:r>
        <w:t>FR: TF 9G_3/2009 du 10 décembre 2009</w:t>
      </w:r>
    </w:p>
    <w:p>
      <w:r>
        <w:t>IT: TF 9G_3/2009 del 10 dicembre 2009</w:t>
      </w:r>
    </w:p>
    <w:p>
      <w:pPr>
        <w:pStyle w:val="Heading2"/>
      </w:pPr>
      <w:r>
        <w:t>Erwägungen</w:t>
      </w:r>
    </w:p>
    <w:p>
      <w:r>
        <w:rPr>
          <w:b/>
        </w:rPr>
        <w:t>E. 1</w:t>
      </w:r>
    </w:p>
    <w:p>
      <w:r>
        <w:t>Par un arrêt rendu le 19 mars 2009, le Tribunal fédéral a partiellement admis un recours déposé par R.________ à l'encontre d'un jugement du Tribunal cantonal des assurances sociales de la République et canton de Genève et alloué à l'intéressée un trois quarts de rente de l'assurance-invalidité à compter du 1er mai 2003 (arrêt 9C_437/2008).</w:t>
      </w:r>
    </w:p>
    <w:p>
      <w:r>
        <w:rPr>
          <w:b/>
        </w:rPr>
        <w:t>E. 2</w:t>
      </w:r>
    </w:p>
    <w:p>
      <w:r>
        <w:t>Le 27 novembre 2009, l'Office fédéral des assurances sociales (OFAS) a déposé une demande d'interprétation et de rectification de l'arrêt 9C_437/2008 du 19 mars 2009. Il requiert que le dispositif de l'arrêt litigieux soit modifié en ce sens que l'assurée a droit à une demi-rente d'invalidité du 1er mai au 31 décembre 2003 et à un trois quarts de rente à compter du 1er janvier 2004. Il fait valoir que le jugement serait contraire au droit, dans la mesure où il n'était pas possible au regard de la loi ( art. 28 al. 1 LAI , dans sa teneur en vigueur jusqu'au 31 décembre 2003) d'allouer un trois quarts de rente d'invalidité avant le 1er janvier 2004.</w:t>
      </w:r>
    </w:p>
    <w:p>
      <w:r>
        <w:rPr>
          <w:b/>
        </w:rPr>
        <w:t>E. 3</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3.1</w:t>
      </w:r>
    </w:p>
    <w:p>
      <w:r>
        <w:t>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(arrêt 5G_1/2008 du 17 novembre 2008 consid. 1.1). Quant à la rectification, elle a pour but de permettre la correction des erreurs de rédaction ou de pures fautes de calcul.</w:t>
      </w:r>
    </w:p>
    <w:p>
      <w:r>
        <w:rPr>
          <w:b/>
        </w:rPr>
        <w:t>E. 3.2</w:t>
      </w:r>
    </w:p>
    <w:p>
      <w:r>
        <w:t>Ne sont pas recevables les demandes d'interprétation qui visent à la modification du contenu de la décision ou qui tendent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(arrêt 5G_1/2008 du 17 novembre 2008 consid. 1.1).</w:t>
      </w:r>
    </w:p>
    <w:p>
      <w:r>
        <w:rPr>
          <w:b/>
        </w:rPr>
        <w:t>E. 4</w:t>
      </w:r>
    </w:p>
    <w:p>
      <w:r>
        <w:t>En tant que l'OFAS prétend que l'arrêt du Tribunal fédéral serait contraire au droit fédéral et qu'il en demande manifestement la modification du contenu matériel, sa requête doit être rejetée, la voie de l'interprétation ou de la rectification prévue à l' art. 129 LTF n'ayant pas pour objet de modifier le contenu d'un arrêt du Tribunal fédéral.</w:t>
      </w:r>
    </w:p>
    <w:p>
      <w:r>
        <w:rPr>
          <w:b/>
        </w:rPr>
        <w:t>E. 5</w:t>
      </w:r>
    </w:p>
    <w:p>
      <w:r>
        <w:t>Le requérant, qui succombe, ne peut se voir imposer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