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2/2025 vom 22. Juli 2025</w:t>
      </w:r>
    </w:p>
    <w:p>
      <w:r>
        <w:t>Bundesgericht, 2025-07-22, FR</w:t>
      </w:r>
    </w:p>
    <w:p>
      <w:r>
        <w:rPr>
          <w:b/>
        </w:rPr>
        <w:t xml:space="preserve">Quelle: </w:t>
      </w:r>
      <w:r>
        <w:t>https://mcp.opencaselaw.ch/entscheid/bger_9G_2_2025</w:t>
      </w:r>
    </w:p>
    <w:p>
      <w:r>
        <w:t>FR: TF 9G 2/2025 du 22 juillet 2025</w:t>
      </w:r>
    </w:p>
    <w:p>
      <w:r>
        <w:t>IT: TF 9G 2/2025 del 22 luglio 2025</w:t>
      </w:r>
    </w:p>
    <w:p>
      <w:pPr>
        <w:pStyle w:val="Heading2"/>
      </w:pPr>
      <w:r>
        <w:t>Regeste</w:t>
      </w:r>
    </w:p>
    <w:p>
      <w:r>
        <w:t>Prévoyance professionnelle | Prévoyance professionnelle</w:t>
      </w:r>
    </w:p>
    <w:p>
      <w:pPr>
        <w:pStyle w:val="Heading2"/>
      </w:pPr>
      <w:r>
        <w:t>Erwägungen</w:t>
      </w:r>
    </w:p>
    <w:p>
      <w:r>
        <w:rPr>
          <w:b/>
        </w:rPr>
        <w:t>E. 1</w:t>
      </w:r>
    </w:p>
    <w:p>
      <w:r>
        <w:t>Par arrêt du 29 avril 2025, le Tribunal fédéral a partiellement admis, dans la mesure où il l'a jugé recevable, le recours en matière de droit public que le Fonds de garantie LPP avait formé contre le jugement partiel du 23 mars 2022 du Tribunal cantonal du canton de Vaud, Cour des assurances sociales (cause 9C_274/2022). Il a réformé les ch. V à XIX du dispositif de ce jugement en ce sens que les demandes reconventionnelles de B.________, A.________, C.________, D.________, E.________, feu F.________ et feu G.________ contre le Fonds de garantie LPP ont été rejetées, le recours du fonds prénommé étant rejeté pour le surplus (ch. 4 du dispositif de l'arrêt). Par ailleurs, le Tribunal fédéral a condamné le Fonds de garantie LPP à verser, à titre de dépens, la somme de 23'000 fr. à la Banque Cantonale Vaudoise, la somme de 14'000 fr. à H.________, ainsi que la somme de 10'000 fr. à chacun des intimés B.________, A.________, C.________, D.________, E.________, à l'hoirie de feu F.________ et à la succession de feu G.________ (ch. 6 du dispositif de l'arrêt).</w:t>
      </w:r>
    </w:p>
    <w:p>
      <w:r>
        <w:rPr>
          <w:b/>
        </w:rPr>
        <w:t>E. 2</w:t>
      </w:r>
    </w:p>
    <w:p>
      <w:r>
        <w:t>Le Fonds de garantie LPP demande au Tribunal fédéral de rectifier le ch. 6 du dispositif de l'arrêt du 29 avril 2025, en ce sens qu'une allocation de dépens de 10'000 fr. ne soit pas versée à A.________. Invité à s'exprimer sur la demande de rectification, le prénommé n'a pas répondu.</w:t>
      </w:r>
    </w:p>
    <w:p>
      <w:r>
        <w:rPr>
          <w:b/>
        </w:rPr>
        <w:t>E. 3</w:t>
      </w:r>
    </w:p>
    <w:p>
      <w:r>
        <w:t>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 art. 129 al. 1 LTF ).</w:t>
      </w:r>
    </w:p>
    <w:p>
      <w:r>
        <w:rPr>
          <w:b/>
        </w:rPr>
        <w:t>E. 4</w:t>
      </w:r>
    </w:p>
    <w:p>
      <w:r>
        <w:t>En se référant au consid. 13, 2e paragraphe de l'arrêt, le requérant relève que le Tribunal fédéral n'a pas alloué de dépens à I.________ et à A.________, au motif que ces derniers n'étaient pas représentés par un mandataire professionnel ( art. 68 al. 1 et 2 LTF ). Ainsi que le requérant le fait valoir à juste titre, le ch. 6 du dispositif de l'arrêt du 29 avril 2025 est contradictoire avec le consid. 13 de l'arrêt, car A.________ figure à tort au nombre des bénéficiaires d'une allocation de dépens. Il s'ensuit qu'il convient de rectifier le ch. 6 du dispositif de l'arrêt en ce sens.</w:t>
      </w:r>
    </w:p>
    <w:p>
      <w:r>
        <w:rPr>
          <w:b/>
        </w:rPr>
        <w:t>E. 5</w:t>
      </w:r>
    </w:p>
    <w:p>
      <w:r>
        <w:t>Le présent arrêt sera rendu sans frais (art. 66 al. 1 seconde phrase LTF). Le requérant n'a pas droit à des dépens ( art. 68 al. 3 LTF ), étant précisé qu'il ne s'est de toute façon signalé que par une simple lettre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