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9G_2/2010 vom 11. Oktober 2010</w:t>
      </w:r>
    </w:p>
    <w:p>
      <w:r>
        <w:t>Bundesgericht, 2010-10-11, DE</w:t>
      </w:r>
    </w:p>
    <w:p>
      <w:r>
        <w:rPr>
          <w:b/>
        </w:rPr>
        <w:t xml:space="preserve">Quelle: </w:t>
      </w:r>
      <w:r>
        <w:t>https://mcp.opencaselaw.ch/entscheid/bger_9G_2_2010</w:t>
      </w:r>
    </w:p>
    <w:p>
      <w:r>
        <w:t>FR: TF 9G_2/2010 du 11 octobre 2010</w:t>
      </w:r>
    </w:p>
    <w:p>
      <w:r>
        <w:t>IT: TF 9G_2/2010 del 11 ottobre 2010</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Die unterliegende Partei wird in der Regel verpflichtet, der obsiegenden Partei nach Massgabe des Tarifs des Bundesgerichts alle durch den Rechtsstreit verursachten notwendigen Kosten zu ersetzen ( Art. 68 Abs. 2 BGG ). Nach Art. 68 Abs. 5 BGG wird der Entscheid der Vorinstanz über die Parteientschädigung vom Bundesgericht je nach Ausgang des Verfahrens bestätigt, aufgehoben oder geändert. Dabei kann das Gericht die Entschädigung nach Massgabe des anwendbaren eidgenössischen oder kantonalen Tarifs selbst festsetzen oder die Festsetzung der Vorinstanz übertragen.</w:t>
      </w:r>
    </w:p>
    <w:p>
      <w:r>
        <w:rPr>
          <w:b/>
        </w:rPr>
        <w:t>E. 3</w:t>
      </w:r>
    </w:p>
    <w:p>
      <w:r>
        <w:t>Das Urteil des Bundesgerichts vom 9. September 2010 führt die dem Beschwerdeführer aufgrund seines vollumfänglichen Obsiegens zustehende Parteientschädigung im Dispositiv nicht auf. Sodann ist die Rückweisung der Sache an das Sozialversicherungsgericht des Kantons Zürich zur Festsetzung einer Parteientschädigung für das vorangegangene Verfahren nicht vorgesehen. Es handelt sich dabei um ein Versehen, das im Rahmen des vorliegenden Berichtigungsverfahrens korrigiert werden kann.</w:t>
      </w:r>
    </w:p>
    <w:p>
      <w:r>
        <w:rPr>
          <w:b/>
        </w:rPr>
        <w:t>E. 4</w:t>
      </w:r>
    </w:p>
    <w:p>
      <w:r>
        <w:t>Das Dispositiv vom 9. September 2010 ist in dem Sinn zu ergänzen, dass die Beschwerdegegnerin dem Beschwerdeführer für das letztinstanzliche Verfahren eine Parteientschädigung gemäss dem bundesgerichtlichen Tarif in der Höhe des ausgewiesenen Aufwands von Fr. 4'028.50 (inkl. Mehrwertsteuer) zu zahlen hat. Zudem ist die Rückweisung der Sache zur Festsetzung einer Parteientschädigung für das vorangegangene Verfahren an das Sozialversicherungsgericht des Kantons Zürich vorzusehen.</w:t>
      </w:r>
    </w:p>
    <w:p>
      <w:r>
        <w:rPr>
          <w:b/>
        </w:rPr>
        <w:t>E. 5</w:t>
      </w:r>
    </w:p>
    <w:p>
      <w:r>
        <w:t>Das Gesuch um Berichtigung ist gutzuheissen. Es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