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9G_1/2026 vom 2. April 2026</w:t>
      </w:r>
    </w:p>
    <w:p>
      <w:r>
        <w:t>Bundesgericht, 2026-04-02, FR</w:t>
      </w:r>
    </w:p>
    <w:p>
      <w:r>
        <w:rPr>
          <w:b/>
        </w:rPr>
        <w:t xml:space="preserve">Quelle: </w:t>
      </w:r>
      <w:r>
        <w:t>https://mcp.opencaselaw.ch/entscheid/bger_9G_1_2026</w:t>
      </w:r>
    </w:p>
    <w:p>
      <w:r>
        <w:t>FR: TF 9G_1/2026 du 2 avril 2026</w:t>
      </w:r>
    </w:p>
    <w:p>
      <w:r>
        <w:t>IT: TF 9G_1/2026 del 2 aprile 2026</w:t>
      </w:r>
    </w:p>
    <w:p>
      <w:pPr>
        <w:pStyle w:val="Heading2"/>
      </w:pPr>
      <w:r>
        <w:t>Erwägungen</w:t>
      </w:r>
    </w:p>
    <w:p>
      <w:r>
        <w:rPr>
          <w:b/>
        </w:rPr>
        <w:t>E. 1</w:t>
      </w:r>
    </w:p>
    <w:p>
      <w:r>
        <w:t>Par arrêt du 5 février 2026 (9C_358/2025), la IIIe Cour de droit public du Tribunal fédéral a admis, dans la mesure où il était recevable, le recours interjeté par A.________ dans la cause qui l'opposait à l'Office de l'assurance-invalidité pour le canton de Vaud (ci-après: l'office AI). Il a annulé l'arrêt du Tribunal cantonal du canton de Vaud, Cour des assurances sociales, du 19 mai 2025, ainsi que la décision de l'office AI du 10 novembre 2022 et a renvoyé la cause à celui-ci pour instruction complémentaire au sens des considérants et nouvelle décision (ch. 1 du dispositif). Le dispositif de l'arrêt traite des frais et dépens de l'instance cantonale (ch. 3 du dispositif), ainsi que des frais de la procédure devant le Tribunal fédéral (ch. 2 du dispositif). Il ne traite en revanche pas de la question des dépens à allouer à A.________, alors que le considérant 7 dispose que l'intimé (l'office AI) supportera les frais de justice afférents à la procédure et versera également une indemnité de dépens à la recourante (A.________).</w:t>
      </w:r>
    </w:p>
    <w:p>
      <w:r>
        <w:rPr>
          <w:b/>
        </w:rPr>
        <w:t>E. 2</w:t>
      </w:r>
    </w:p>
    <w:p>
      <w:r>
        <w:t>Par lettre du 12 mars 2026, A.________ a demandé que le dispositif de l'arrêt 9C_358/2025 soit complété en ce sens que l'intimé lui versera une indemnité de dépens. L'office AI n'a pas été invité à se déterminer.</w:t>
      </w:r>
    </w:p>
    <w:p>
      <w:r>
        <w:rPr>
          <w:b/>
        </w:rPr>
        <w:t>E. 3.1</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rPr>
          <w:b/>
        </w:rPr>
        <w:t>E. 3.2</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 contesté (cf. arrêt 9G_1/2018 du 25 janvier 2018 consid. 3.2 et la référence).</w:t>
      </w:r>
    </w:p>
    <w:p>
      <w:r>
        <w:rPr>
          <w:b/>
        </w:rPr>
        <w:t>E. 3.3</w:t>
      </w:r>
    </w:p>
    <w:p>
      <w:r>
        <w:t>En l'occurrence, compte tenu du considérant 7 de l'arrêt 9C_358/2025 du 5 février 2026, son dispositif est manifestement incomplet, puisqu'il omet de fixer l'indemnité à titre de dépens à allouer à A.________ (dont le recours avait été rédigé par un avocat). Il convient par conséquent de compléter le dispositif de l'arrêt par un chiffre 2bis, qui prévoit que "L'intimé versera à la recourante une indemnité de 3'000 fr. à titre de dépens pour la procédure devant le Tribunal fédéral".</w:t>
      </w:r>
    </w:p>
    <w:p>
      <w:r>
        <w:rPr>
          <w:b/>
        </w:rPr>
        <w:t>E. 4</w:t>
      </w:r>
    </w:p>
    <w:p>
      <w:r>
        <w:t>Dès lors que la nécessité de procéder à la rectification demandée fait suite à une inadvertance de l'autorité de recours fédérale, il n'y a pas lieu de percevoir de frais judiciaires ( art. 66 al. 1, seconde phrase, LTF ). Par ailleurs, A.________ s'est signalée par une simple lettre de son conseil et l'autre partie n'a pas été invitée à se déterminer, de sorte qu'il ne sera pas alloué de dépens pour la présente procédure (comp. arrêt 9G_2/2024 du 23 juillet 2024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