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9G_1/2021 vom 27. September 2021</w:t>
      </w:r>
    </w:p>
    <w:p>
      <w:r>
        <w:t>Bundesgericht, 2021-09-27, DE</w:t>
      </w:r>
    </w:p>
    <w:p>
      <w:r>
        <w:rPr>
          <w:b/>
        </w:rPr>
        <w:t xml:space="preserve">Quelle: </w:t>
      </w:r>
      <w:r>
        <w:t>https://mcp.opencaselaw.ch/entscheid/bger_9G_1_2021</w:t>
      </w:r>
    </w:p>
    <w:p>
      <w:r>
        <w:t>FR: TF 9G_1/2021 du 27 septembre 2021</w:t>
      </w:r>
    </w:p>
    <w:p>
      <w:r>
        <w:t>IT: TF 9G_1/2021 del 27 settembre 2021</w:t>
      </w:r>
    </w:p>
    <w:p>
      <w:pPr>
        <w:pStyle w:val="Heading2"/>
      </w:pPr>
      <w:r>
        <w:t>Erwägungen</w:t>
      </w:r>
    </w:p>
    <w:p>
      <w:r>
        <w:rPr>
          <w:b/>
        </w:rPr>
        <w:t>E. 1</w:t>
      </w:r>
    </w:p>
    <w:p>
      <w:r>
        <w:t>Ist das Dispositiv eines bundesgerichtlichen Entscheids unklar, unvollständig oder zweideutig, stehen seine Bestimmungen untereinander oder mit der Begründung im Widerspruch oder enthält es Redaktions- oder Rechnungsfehler, so nimmt das Bundesgericht auf schriftliches Gesuch einer Partei oder von Amtes wegen die Erläuterung oder Berichtigung vor ( Art. 129 Abs. 1 BGG ).</w:t>
      </w:r>
    </w:p>
    <w:p>
      <w:r>
        <w:t>Die Erläuterung oder Berichtigung dient dazu, möglichst formlos Abhilfe zu schaffen, wenn die Entscheidformel (Dispositiv) unklar, unvollständig, zweideutig oder in sich widersprüchlich ist. Sie erlaubt insbesondere, Fehler oder Auslassungen bei der Ausformulierung des Dispositivs zu korrigieren. Die Erwägungen sind einer Erläuterung oder Berichtigung nur zugänglich, soweit der Sinn der Entscheidformel erst durch deren Beizug ermittelt werden kann. Die Erläuterung oder Berichtigung dient nicht dazu, allfällige Rechtsfehler im Nachhinein zu korrigieren (Urteile 6G_1/2019 vom 15. Juli 2019 E. 3.2; 8G_1/2018 vom 22. Mai 2018 E. 5.2; 9G_1/2016 vom 28. Januar 2016 E. 1). Wie mit einer Revision (vgl. Art. 121 ff. BGG ; Urteile 9F_11/2019 vom 19. August 2019 E. 2.3.2; 5F_24/2018 vom 1. Juli 2019 E. 1; 8F_8/2019 vom 28. März 2019) lassen sich auch mit der Erläuterung oder Berichtigung nicht nachträglich allfällige Versäumnisse in der Begründung der Beschwerde an das Bundesgericht beheben.</w:t>
      </w:r>
    </w:p>
    <w:p>
      <w:r>
        <w:rPr>
          <w:b/>
        </w:rPr>
        <w:t>E. 2</w:t>
      </w:r>
    </w:p>
    <w:p>
      <w:r>
        <w:t>Das Bundesgericht befasste sich im Urteil 9C_181/2021 vom 10. Juni 2021 lediglich mit der Leistungszuständigkeit der Pensionskasse im Grundsatz. Es äusserte sich indessen nicht zum konkreten Anspruch auf Beitragsbefreiung, insbesondere weder zu dessen zeitlichem Aspekt noch zur Tragweite der diesbezüglichen Anordnung im Dispositiv des kantonalen Urteils vom 24. November 2020. Dazu hatte es angesichts der Vorbringen in der Beschwerde auch keinen Anlass (vgl. Urteil 9C_181/2021 vom 10. Juni 2021 E. 1 und 4.1). Damit kann von vornherein nicht von einem Widerspruch zwischen Begründung und Dispositiv des Urteils 9C_181/2021 gesprochen werden. Ein anderer Grund für eine Erläuterung oder Berichtigung des genannten Urteils wird nicht geltend gemacht und ist auch nicht ersichtlich.</w:t>
      </w:r>
    </w:p>
    <w:p>
      <w:r>
        <w:rPr>
          <w:b/>
        </w:rPr>
        <w:t>E. 3</w:t>
      </w:r>
    </w:p>
    <w:p>
      <w:r>
        <w:t>Umständehalber sind keine Gerichtskosten zu erheben ( Art. 66 Abs. 1 BGG ). Der Gesuchsgegner hat Anspruch auf eine Parteientschädigung (Art. 68 Abs. 4 i.V.m. Art. 66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