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9G_1/2020 vom 26. Mai 2020</w:t>
      </w:r>
    </w:p>
    <w:p>
      <w:r>
        <w:t>Bundesgericht, 2020-05-26, DE</w:t>
      </w:r>
    </w:p>
    <w:p>
      <w:r>
        <w:rPr>
          <w:b/>
        </w:rPr>
        <w:t xml:space="preserve">Quelle: </w:t>
      </w:r>
      <w:r>
        <w:t>https://mcp.opencaselaw.ch/entscheid/bger_9G_1_2020</w:t>
      </w:r>
    </w:p>
    <w:p>
      <w:r>
        <w:t>FR: TF 9G_1/2020 du 26 mai 2020</w:t>
      </w:r>
    </w:p>
    <w:p>
      <w:r>
        <w:t>IT: TF 9G_1/2020 del 26 maggio 2020</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w:t>
      </w:r>
    </w:p>
    <w:p>
      <w:r>
        <w:t>Im bundesgerichtlichen Urteilsdispositiv vom 9. Januar 2020 fehlt eine Bestimmung über die Verteilung der Gerichts- und Parteikosten des kantonalen Verfahrens. Das Gesuch um Erläuterung/Berichtigung ist daher gutzuheissen. Das Dispositiv vom 9. Januar 2020 ist in dem Sinn zu ergänzen, dass die Sache zur Neuverlegung der Kosten wie auch der Parteientschädigung für das kantonale Verfahren an das Versicherungsgericht zurückzuweisen ist.</w:t>
      </w:r>
    </w:p>
    <w:p>
      <w:r>
        <w:rPr>
          <w:b/>
        </w:rPr>
        <w:t>E. 3</w:t>
      </w:r>
    </w:p>
    <w:p>
      <w:r>
        <w:t>Bei diesem Ausgang des Verfahrens sind keine Gerichtskosten zu erheben (Art. 66 Abs. 1 in fine BGG). Ferner hat der Gesuchsteller Anspruch auf eine Entschädigung aus der Gerichtskasse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