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9G_1/2009 vom 10. Juni 2009</w:t>
      </w:r>
    </w:p>
    <w:p>
      <w:r>
        <w:t>Bundesgericht, 2009-06-10, DE</w:t>
      </w:r>
    </w:p>
    <w:p>
      <w:r>
        <w:rPr>
          <w:b/>
        </w:rPr>
        <w:t xml:space="preserve">Quelle: </w:t>
      </w:r>
      <w:r>
        <w:t>https://mcp.opencaselaw.ch/entscheid/bger_9G_1_2009</w:t>
      </w:r>
    </w:p>
    <w:p>
      <w:r>
        <w:t>FR: TF 9G_1/2009 du 10 juin 2009</w:t>
      </w:r>
    </w:p>
    <w:p>
      <w:r>
        <w:t>IT: TF 9G_1/2009 del 10 giugno 2009</w:t>
      </w:r>
    </w:p>
    <w:p>
      <w:pPr>
        <w:pStyle w:val="Heading2"/>
      </w:pPr>
      <w:r>
        <w:t>Erwägungen</w:t>
      </w:r>
    </w:p>
    <w:p>
      <w:r>
        <w:rPr>
          <w:b/>
        </w:rPr>
        <w:t>E. 1</w:t>
      </w:r>
    </w:p>
    <w:p>
      <w:r>
        <w:t>Beim Urteil vom 20. Oktober 2008 handelt es sich um einen Rückweisungsentscheid. Die Erläuterung eines solchen ist nach Art. 129 Abs. 2 BGG nur zulässig, solange die Vorinstanz nicht den neuen Entscheid getroffen hat. Die Fragen, ob die IV-Stelle als Vorinstanz im Sinne dieser Bestimmung zu betrachten, der neue Entscheid die Anordnung der Begutachtung selber oder aber die nachher zu erlassende materielle Verfügung über den streitigen Rentenanspruch sei, können mit Blick auf den Verfahrensausgang offenbleiben.</w:t>
      </w:r>
    </w:p>
    <w:p>
      <w:r>
        <w:rPr>
          <w:b/>
        </w:rPr>
        <w:t>E. 2</w:t>
      </w:r>
    </w:p>
    <w:p>
      <w:r>
        <w:t>Ist das Dispositiv eines bundesgerichtlichen Entscheids unklar, unvollständig oder zweideutig, stehen seine Bestimmungen untereinander oder mit der Begründung in Widerspruch oder enthält es Redaktions- oder Rechnungsfehler, so nimmt das Bundesgericht auf schriftliches Gesuch einer Partei oder von Amtes wegen die Erläuterung oder Berichtigung vor ( Art. 129 Abs. 1 BGG ).</w:t>
      </w:r>
    </w:p>
    <w:p>
      <w:r>
        <w:t>Entgegen der Auffassung der Gesuchstellerin ist das Urteil vom 20. Oktober 2008 nicht unklar sondern auslegungsbedürftig, welch Letztes jedoch keinen Erläuterungsgrund darstellt. Indem das Urteil vom 20. Oktober 2008 der Gesuchsgegnerin nicht vorschreibt, durch wen die ergänzende medizinische Abklärung zu erfolgen hat, wahrt es den Handlungsspielraum, über welchen die Invalidenversicherungsstelle als zum objektiven und neutralen Gesetzesvollzug verpflichtetes Gesetzesorgan unter Wahrung der Gehörs- und weiteren Mitwirkungsrechte der Versicherten verfügt (vgl. BGE 104 V 209 E. c S. 211). Die mit Blick auf die von der Gesuchsgegnerin anscheinend in Aussicht genommene Gutachtensstelle entstandenen Meinungsverschiedenheiten können nicht Thema dieses Erläuterungsverfahren sein. Insoweit ist das Erläuterungsgesuch, soweit überhaupt zulässig, offensichtlich unbegründet.</w:t>
      </w:r>
    </w:p>
    <w:p>
      <w:r>
        <w:t>In Anbetracht der im Rückweisungsverfahren als Folge des Urteil vom 20. Oktober 2008 entstandenen Meinungsverschiedenheiten rechtfertigt sich - unpräjudiziell - die Bemerkung, dass, wiewohl der Versicherungsträger zur Bezeichnung der Gutachterstelle im Rahmen des Amtsbetriebes und des Untersuchungsgrundsatzes befugt ist, nach Möglichkeit ein konsensuales Vorgehen angezeigt ist. Denn - vorbehältlich rechtsmissbräuchlicher Verhaltensweisen, für die hier aber keine Anhaltspunkte vorliegen - ist mit Blick auf das für eine sachgerechte, erkenntnisfördernde Begutachtung und ihre Akzeptanz erforderliche Vertrauensverhältnis die Bezeichnung des medizinischen Experten wenn immer möglich im gegenseitigen Einvernehmen vorzuziehen, dies auch um weitere administrative und gerichtliche Verfahren zu verhindern (vgl. SVR 2009 UV Nr. 18 S. 69 ff. E. 2.2).</w:t>
      </w:r>
    </w:p>
    <w:p>
      <w:r>
        <w:rPr>
          <w:b/>
        </w:rPr>
        <w:t>E. 3</w:t>
      </w:r>
    </w:p>
    <w:p>
      <w:r>
        <w:t>Bei diesem Verfahrensausgang wird die Gesuchstellerin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