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9F_9/2016 vom 20. März 2017</w:t>
      </w:r>
    </w:p>
    <w:p>
      <w:r>
        <w:t>Bundesgericht, 2017-03-20, DE</w:t>
      </w:r>
    </w:p>
    <w:p>
      <w:r>
        <w:rPr>
          <w:b/>
        </w:rPr>
        <w:t xml:space="preserve">Quelle: </w:t>
      </w:r>
      <w:r>
        <w:t>https://mcp.opencaselaw.ch/entscheid/bger_9F_9_2016</w:t>
      </w:r>
    </w:p>
    <w:p>
      <w:r>
        <w:t>FR: TF 9F_9/2016 du 20 mars 2017</w:t>
      </w:r>
    </w:p>
    <w:p>
      <w:r>
        <w:t>IT: TF 9F_9/2016 del 20 marzo 2017</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9F_6/2016 vom 29. November 2016 E. 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w:t>
      </w:r>
    </w:p>
    <w:p>
      <w:r>
        <w:rPr>
          <w:b/>
        </w:rPr>
        <w:t>E. 1.3</w:t>
      </w:r>
    </w:p>
    <w:p>
      <w:r>
        <w:t>Neue Tatsachen sind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das heisst, sie müssen geeignet sein, die tatbeständliche Grundlage des angefochtenen Urteils zu verändern und bei zutreffender rechtlicher Würdigung zu einer andern Entscheidung zu führen (Urteil 8F_14/2013 vom 11. Februar 2014 E. 1.2, publ. in: SVR 2014 UV Nr. 22 S. 70).</w:t>
      </w:r>
    </w:p>
    <w:p>
      <w:r>
        <w:t>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(statt vieler: Urteil 8F_15/2015 vom 7. Dezember 2015 E. 1.1 mit zahlreichen Hinweisen, publ. in: SVR 2016 IV Nr. 7 S. 21). Es genügt z. B. nicht, dass ein neues Gutachten den Sachverhalt anders wertet; vielmehr bedarf es neuer Elemente tatsächlicher Natur, welche die Entscheidungsgrundlagen als objektiv mangelhaft erscheinen lassen (Urteil 8F_9/2013 vom 15. Oktober 2013 E. 1.2 mit Hinweis auf BGE 127 V 353 E. 5b S. 358 mit Hinweisen).</w:t>
      </w:r>
    </w:p>
    <w:p>
      <w:r>
        <w:rPr>
          <w:b/>
        </w:rPr>
        <w:t>E. 1.4</w:t>
      </w:r>
    </w:p>
    <w:p>
      <w:r>
        <w:t>Das Revisionsgesuch ist gemäss Art. 124 Abs. 1 lit. d BGG innert 90 Tagen nach der Entdeckung des Revisionsgrundes, frühestens nach der Eröffnung der vollständigen Ausfertigung des Entscheids einzureichen.</w:t>
      </w:r>
    </w:p>
    <w:p>
      <w:r>
        <w:rPr>
          <w:b/>
        </w:rPr>
        <w:t>E. 2.1</w:t>
      </w:r>
    </w:p>
    <w:p>
      <w:r>
        <w:t>Das Bundesgericht hat im Urteil 9C_680/2014 vom 15. Mai 2015, dessen Revision verlangt wird, die Rechtmässigkeit der zuvor von der Gesuchsgegnerin mit Verfügungen vom 20. September und 23. Oktober 2013 erfolgten Aufhebung der Hilflosenentschädigung und der Invalidenrente rückwirkend per 31. Dezember 2011 bestätigt.</w:t>
      </w:r>
    </w:p>
    <w:p>
      <w:r>
        <w:rPr>
          <w:b/>
        </w:rPr>
        <w:t>E. 2.2</w:t>
      </w:r>
    </w:p>
    <w:p>
      <w:r>
        <w:t>Massgebend für die Beurteilung der Leistungsansprüche des Gesuchstellers war im Verfahren 9C_680/2014 der Sachverhalt, wie er sich im Zeitpunkt des Verfügungserlasses präsentierte, das heisst am 20. September und 23. Oktober 2013 ( BGE 130 V 138 E. 2.1 S. 140). Entsprechend könnte nur von einem Revisionsgrund der erheblichen Tatsache oder des entscheidenden Beweismittels ausgegangen werden, wenn der Gesuchsteller mit dem im Sozialversicherungsrecht massgeblichen Beweisgrad der überwiegenden Wahrscheinlichkeit ( BGE 138 V 218 E. 6 S. 221 mit Hinweisen) Tatsachen nachwiese, die am 20. September und 23. Oktober 2013 bereits vorgelegen haben (vgl. Urteil 8F_1/2013 vom 25. Juni 2013 E. 4 am Anfang).</w:t>
      </w:r>
    </w:p>
    <w:p>
      <w:r>
        <w:t>Die vom Gesuchsteller aufgelegten Berichte der Dr. med. B.________, Fachärztin für Neurologie, vom 24. Mai und vom 9. Juni 2016 und der MRI-Bericht des Röntgeninstituts C.________ vom 1. Juni 2016 über die gleichentags durchgeführte Untersuchung des Schädels vermögen den eben genannten Voraussetzungen nicht zu genügen. Denn es ist nicht mit dem erforderlichen Beweisgrad der überwiegenden Wahrscheinlichkeit erstellt, dass die im Juni 2016 bildgebend festgestellten bzw. die klinisch-neurologisch erhobenen Befunde schon im September oder Oktober 2013 vorgelegen hatten, zumal sich im Zeitraum von September bzw. Oktober 2013 bis Juni 2016 ohne Weiteres auch eine Veränderung des Gesundheitszustandes des Gesuchsteller eingestellt haben kann. Schon aus diesem Grund ist dem Gesuch kein Erfolg beschieden.</w:t>
      </w:r>
    </w:p>
    <w:p>
      <w:r>
        <w:rPr>
          <w:b/>
        </w:rPr>
        <w:t>E. 2.3</w:t>
      </w:r>
    </w:p>
    <w:p>
      <w:r>
        <w:t>Soweit das Gesuch nicht ausschliesslich auf Befunden basiert, die allenfalls erst nach Verfügungserlass einstanden sind (E. 2.2 hievor), ist festzuhalten, dass mit der nachträglichen Berücksichtigung von Tatsachen und Beweisen allenfalls der Sachverhalt korrigiert werden kann. Vorliegend will jedoch der Gesuchsteller mit den von ihm vorgelegten Berichten der Dr. med. B.________ erreichen, dass der Schluss der RAD-Expertin Dr. med. D.________, Fachärztin für Neurologie, vom 12. Februar 2013 in Frage gestellt wird. Diese hatte das Vorliegen einer Demenz - eine solche stand bereits damals als Verdachtsdiagnose im Raum - gestützt auf die Akten sowie die von ihr durchgeführte klinische Untersuchung als "sehr unwahrscheinlich" eingestuft. Eine Revision dient jedoch nie dazu, die Würdigung damaliger Vorbringen erneut zu überprüfen. Mithin ist bei einer Revision unbeachtlich, ob ein neuer Experte nunmehr zu einem anderen Ergebnis gelangt (ELISABETH ESCHER, in: Basler Kommentar, Bundesgerichtsgesetz, 2. Aufl. 2011, N. 7 zu Art. 123 BGG ).</w:t>
      </w:r>
    </w:p>
    <w:p>
      <w:r>
        <w:rPr>
          <w:b/>
        </w:rPr>
        <w:t>E. 2.4</w:t>
      </w:r>
    </w:p>
    <w:p>
      <w:r>
        <w:t>Schliesslich fehlt es auch an der revisionsrechtlichen Erheblichkeit der angerufenen Tatsachen oder Beweismittel. Rechtsprechungsgemäss bildet ein neues Gutachten - in concreto die neuen ärztlichen Berichte - noch keinen Revisionsgrund, soweit es lediglich eine von der früheren Expertise bzw. Beweisgrundlage abweichende Meinung vertritt. Es muss vielmehr den Fehler in der früheren Beweisgrundlage eindeutig ("indiscutable") oder mit "überlegenen Gründen" aufzeigen, damit es einen Revisionsgrund bilden könnte (Urteil 8F_9/2012 vom 6. November 2012 E. 3). Dies wäre - selbst wenn von der von Dr. med. B.________ postulierten Diagnose einer frontotemporalen Demenz auszugehen wäre und diese schon im massgebenden Zeitraum bestanden hätte - nicht der Fall. Entscheidend ist nicht die Diagnose (zur fehlenden Korrelation von Diagnose und Arbeitsunfähigkeit: BGE 140 V 193 E. 3.1 S. 195), sondern deren Auswirkungen auf die Erwerbsfähigkeit (bezüglich des Rentenanspruchs; Art. 7 und 8 ATSG ) respektive auf das Bedürfnis auf Hilfe Dritter für alltägliche Lebensverrichtungen oder auf persönliche Überwachung (bezüglich der Hilflosigkeit; Art. 9 ATSG ). Die im Urteil 9C_680/2014 geschützte Annahme der Vorinstanz, wonach eine erhebliche Verbesserung des Gesundheitszustands des Beschwerdeführers eingetreten sei, stützte sich nicht zuletzt auf eine Beweissicherung vor Ort. Diese zeigte eindrücklich auf, dass der Beschwerdeführer - entgegen seinen wiederholt gemachten, wahrheitswidrigen Angaben gegenüber der IV-Stelle - in der Lage war, zahlreiche Aktivitäten auszuüben und er auch anspruchsvolle Fähigkeiten beherrschte, welche das Bundesgericht mit der Diagnose einer mittelschweren Demenz mit vollständiger Invalidisierung und Unfähigkeit, im täglichen Leben bzw. bei den Alltagsverrichtungen ohne Hilfe zurecht zu kommen, als schlechtweg unvereinbar erachtete. Die neu aufgelegten Berichte bzw. die postulierte Diagnose einer frontotemporalen Demenz vermöchten hieran nichts zu ändern bzw. keinen Fehler in der früheren Beweisgrundlage darzutun.</w:t>
      </w:r>
    </w:p>
    <w:p>
      <w:r>
        <w:rPr>
          <w:b/>
        </w:rPr>
        <w:t>E. 2.5</w:t>
      </w:r>
    </w:p>
    <w:p>
      <w:r>
        <w:t>Zusammenfassend ist festzustellen, dass sich mit den in den neu aufgelegten Berichten festgestellten Befunden bzw. postulierten Diagnosen eine Revision des Urteils vom 15. Mai 2015 nicht rechtfertigen lässt. Bei diesem Ergebnis kann die Frage der Rechtzeitigkeit des Revisionsgesuches (E. 1.4 hievor) offenbleiben.</w:t>
      </w:r>
    </w:p>
    <w:p>
      <w:r>
        <w:rPr>
          <w:b/>
        </w:rPr>
        <w:t>E. 3</w:t>
      </w:r>
    </w:p>
    <w:p>
      <w:r>
        <w:t>Dem Verfahrensausgang entsprechend sind die Gerichtskosten dem Gesuchsteller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