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9F_8/2018 vom 22. August 2018</w:t>
      </w:r>
    </w:p>
    <w:p>
      <w:r>
        <w:t>Bundesgericht, 2018-08-22, DE</w:t>
      </w:r>
    </w:p>
    <w:p>
      <w:r>
        <w:rPr>
          <w:b/>
        </w:rPr>
        <w:t xml:space="preserve">Quelle: </w:t>
      </w:r>
      <w:r>
        <w:t>https://mcp.opencaselaw.ch/entscheid/bger_9F_8_2018</w:t>
      </w:r>
    </w:p>
    <w:p>
      <w:r>
        <w:t>FR: TF 9F_8/2018 du 22 août 2018</w:t>
      </w:r>
    </w:p>
    <w:p>
      <w:r>
        <w:t>IT: TF 9F_8/2018 del 22 agosto 2018</w:t>
      </w:r>
    </w:p>
    <w:p>
      <w:pPr>
        <w:pStyle w:val="Heading2"/>
      </w:pPr>
      <w:r>
        <w:t>Erwägungen</w:t>
      </w:r>
    </w:p>
    <w:p>
      <w:r>
        <w:rPr>
          <w:b/>
        </w:rPr>
        <w:t>E. 1</w:t>
      </w:r>
    </w:p>
    <w:p>
      <w:r>
        <w:t>Zieht eine Partei ein Rechtsmittel zurück, so bringt sie damit das Verfahren zum Abschluss. Der Rückzug eines Rechtsmittels muss klar, ausdrücklich und unbedingt erfolgen ( BGE 141 IV 269 E. 2.1, 119 V 36 E. 1b S. 38). Gestützt auf eine Rückzugs- bzw. Abstandserklärung erklärt die zuständige Behörde das Verfahren für erledigt, d.h. sie schreibt es (vom Protokoll) ab. Der ausdrücklich und vorbehaltlos (bedingungslos) erklärte Rückzug der Beschwerde bedeutet Verzicht auf die Überprüfung des Rechtsbegehrens mit der Folge, dass die Gegenstand des Rechtsmittels bildende Verfügung rechtskräftig wird. Es verhält sich nach dem Rückzug und der Abscheibung des Rechtsmittels so, als wäre es nicht erhoben worden. Der bedingungslos erklärte Rückzug ist grundsätzlich endgültig, d.h. nicht widerrufbar; vorbehalten bleiben der Vertrauensschutz oder Willensmängel (Urteil 2A.396/2005 mit zahlreichen Hinweisen auf Rechtsprechung und Schrifttum). Willensmängel sind von demjenigen, der sich darauf beruft, nachzuweisen ( BGE 141 IV 269 E. 2.2.1 S. 271; Urteil 2C_292/2014 vom 18. August 2014 E. 2.1).</w:t>
      </w:r>
    </w:p>
    <w:p>
      <w:r>
        <w:rPr>
          <w:b/>
        </w:rPr>
        <w:t>E. 2</w:t>
      </w:r>
    </w:p>
    <w:p>
      <w:r>
        <w:t>Der Gesuchsteller hat das bei der IV-Stelle eingereichte, das Urteil des Bundesgerichts 9C_619/2016 vom 23. November 2016 betreffende, diesem am 5. Juli 2018 vom Kantonsgericht Luzern übermittelte Revisionsgesuch mit Schreiben vom 12. Juli 2018 ausdrücklich und vorbehaltlos zurückgezogen. Mit Eingabe vom 19. Juli 2018 schrieb er dem Gericht, der Rückzug sei aus einem Missverständnis und Irrtum erfolgt, weshalb er das Schreiben vom 12. Juli 2018 wegen Irrtums widerrufen möchte, damit die Angelegenheit ihren Fortgang nehmen könne. Der angebliche Irrtum, der auf ein Missverständnis zwischen dem Rechtsvertreter und dem Gesuchsteller zurückzuführen sein soll, ist indessen durch nichts nachgewiesen. Die E-Mailkopie, welche der Rechtsanwalt als Beilage zum Brief vom 12. Juli 2018 einreicht, belegt einen irrtümlichen Rückzug des Revisionsgesuchs in keiner Weise. Auf den Vertrauensschutz, welcher allenfalls Grundlage für eine Ungültigkeit des Rückzugs bilden könnte, beruft sich der Gesuchsteller nicht, und entsprechende Umstände sind nicht erkennbar.</w:t>
      </w:r>
    </w:p>
    <w:p>
      <w:r>
        <w:rPr>
          <w:b/>
        </w:rPr>
        <w:t>E. 3</w:t>
      </w:r>
    </w:p>
    <w:p>
      <w:r>
        <w:t>Auf das Revisionsgesuch ist daher infolge Wirksamkeit des Rückzugs nicht einzutreten ( BGE 141 IV 269 E. 2.2.3 S. 271).</w:t>
      </w:r>
    </w:p>
    <w:p>
      <w:r>
        <w:rPr>
          <w:b/>
        </w:rPr>
        <w:t>E. 4</w:t>
      </w:r>
    </w:p>
    <w:p>
      <w:r>
        <w:t>Gemäss Art. 66 Abs. 1 Satz 2 BGG ist umständehalber von der Erhebung von Gerichtskosten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