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9F_8/2013 vom 25. Juni 2013</w:t>
      </w:r>
    </w:p>
    <w:p>
      <w:r>
        <w:t>Bundesgericht, 2013-06-25, FR</w:t>
      </w:r>
    </w:p>
    <w:p>
      <w:r>
        <w:rPr>
          <w:b/>
        </w:rPr>
        <w:t xml:space="preserve">Quelle: </w:t>
      </w:r>
      <w:r>
        <w:t>https://mcp.opencaselaw.ch/entscheid/bger_9F_8_2013</w:t>
      </w:r>
    </w:p>
    <w:p>
      <w:r>
        <w:t>FR: TF 9F_8/2013 du 25 juin 2013</w:t>
      </w:r>
    </w:p>
    <w:p>
      <w:r>
        <w:t>IT: TF 9F_8/2013 del 25 giugno 2013</w:t>
      </w:r>
    </w:p>
    <w:p>
      <w:pPr>
        <w:pStyle w:val="Heading2"/>
      </w:pPr>
      <w:r>
        <w:t>Erwägungen</w:t>
      </w:r>
    </w:p>
    <w:p>
      <w:r>
        <w:rPr>
          <w:b/>
        </w:rPr>
        <w:t>E. 1</w:t>
      </w:r>
    </w:p>
    <w:p>
      <w:r>
        <w:t>Le requérant invoque comme motif de révision l' art. 121 let . d LTF.</w:t>
      </w:r>
    </w:p>
    <w:p>
      <w:r>
        <w:rPr>
          <w:b/>
        </w:rPr>
        <w:t>E. 2.1</w:t>
      </w:r>
    </w:p>
    <w:p>
      <w:r>
        <w:t>Lorsque le Tribunal fédéral, statuant sur la base des faits constatés dans la décision de l'instance précédente, admet ou rejette le recours en matière de droit public, son arrêt se substitue à la décision entreprise et constitue la seule décision en force (cf. art. 61 LTF ) susceptible d'être révisée pour les motifs énumérés aux art. 121 et 123 LTF , de sorte qu'une demande en révision ne peut plus être formée devant l'instance précédente (arrêt 8C_602/2011 du 30 septembre 2011, consid. 1.3 et les références à l' ATF 134 III 669 consid. 2.2 p. 670 s. et à la doctrine). En revanche, la demande en révision doit être formée devant l'instance précédente si le Tribunal fédéral n'est pas entré en matière sur le recours en matière de droit public ou si elle porte exclusivement sur des aspects qui ne constituaient plus l'objet du litige devant le Tribunal fédéral (arrêt 9C_473/2011 du 14 mai 2012, consid. 5.1 et les arrêts cités).</w:t>
      </w:r>
    </w:p>
    <w:p>
      <w:r>
        <w:rPr>
          <w:b/>
        </w:rPr>
        <w:t>E. 2.2</w:t>
      </w:r>
    </w:p>
    <w:p>
      <w:r>
        <w:t>Ainsi que cela est exposé dans l'arrêt du 24 octobre 2011 (9C_108/2011) au consid. 2.1, l'objet du litige devant le Tribunal fédéral consistait dans "le droit de la recourante à une rente d'invalidité supérieure à un quart de rente". La demande de révision du 7 mai 2013 porte exclusivement sur un aspect, à savoir "la clause d'assurance", qui ne constituait pas l'objet du litige devant le Tribunal fédéral. Elle doit dès lors être formée devant l'instance cantonale (supra, consid. 2.1).</w:t>
      </w:r>
    </w:p>
    <w:p>
      <w:r>
        <w:t>Il n'y a donc pas lieu d'entrer en matière sur la demande de révision, qu'il convient de transmettre à l'instance précédente ( art. 30 LTF ; art. 57 al. 2 let. b de la loi neuchâteloise sur la procédure et la juridiction administratives (LPJA) [RSN 152.130]).</w:t>
      </w:r>
    </w:p>
    <w:p>
      <w:r>
        <w:rPr>
          <w:b/>
        </w:rPr>
        <w:t>E. 3</w:t>
      </w:r>
    </w:p>
    <w:p>
      <w:r>
        <w:t>Le requérant, qui succombe, supportera les frais judiciaires afférents à la présente procédure (art. 66 al. 1, 1</w:t>
      </w:r>
    </w:p>
    <w:p>
      <w:r>
        <w:t>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