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9F_7/2017 vom 3. August 2017</w:t>
      </w:r>
    </w:p>
    <w:p>
      <w:r>
        <w:t>Bundesgericht, 2017-08-03, DE</w:t>
      </w:r>
    </w:p>
    <w:p>
      <w:r>
        <w:rPr>
          <w:b/>
        </w:rPr>
        <w:t xml:space="preserve">Quelle: </w:t>
      </w:r>
      <w:r>
        <w:t>https://mcp.opencaselaw.ch/entscheid/bger_9F_7_2017</w:t>
      </w:r>
    </w:p>
    <w:p>
      <w:r>
        <w:t>FR: TF 9F_7/2017 du 3 août 2017</w:t>
      </w:r>
    </w:p>
    <w:p>
      <w:r>
        <w:t>IT: TF 9F_7/2017 del 3 agosto 2017</w:t>
      </w:r>
    </w:p>
    <w:p>
      <w:pPr>
        <w:pStyle w:val="Heading2"/>
      </w:pPr>
      <w:r>
        <w:t>Erwägungen</w:t>
      </w:r>
    </w:p>
    <w:p>
      <w:r>
        <w:rPr>
          <w:b/>
        </w:rPr>
        <w:t>E. 1</w:t>
      </w:r>
    </w:p>
    <w:p>
      <w:r>
        <w:t>Von der beantragten Vereinigung der Verfahren 9F_7/2017 und 9C_405/2017 ist abzusehen, da diese nicht den nämlichen Entscheid betreffen und sich auch nicht dieselben Rechtsfragen stellen. Geht es im hier aktuellen Verfahren 9F_7/2017 um die Revision des bundesgerichtlichen Urteils 9C_696/2016, stellt sich im parallel laufenden Verfahren 9C_405/2017 die Frage einer Verletzung des Rechtsverweigerungsverbots. Die Voraussetzungen für eine Verfahrensvereinigung sind damit nicht gegeben ( BGE 128 V 124 E. 1 S. 126 mit Hinweisen; Urteil 8C_861/2014 vom 16. März 2015 E. 1).</w:t>
      </w:r>
    </w:p>
    <w:p>
      <w:r>
        <w:rPr>
          <w:b/>
        </w:rPr>
        <w:t>E. 2.1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9F_9/2016 vom 20. März 2017 E. 1.1).</w:t>
      </w:r>
    </w:p>
    <w:p>
      <w:r>
        <w:rPr>
          <w:b/>
        </w:rPr>
        <w:t>E. 2.2</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2.3</w:t>
      </w:r>
    </w:p>
    <w:p>
      <w:r>
        <w:t>Neue Tatsachen sind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das heisst, sie müssen geeignet sein, die tatbeständliche Grundlage des angefochtenen Urteils zu verändern und bei zutreffender rechtlicher Würdigung zu einer andern Entscheidung zu führen (Urteil 8F_14/2013 vom 11. Februar 2014 E. 1.2 mit Hinweisen, in: SVR 2014 UV Nr. 22 S. 70).</w:t>
      </w:r>
    </w:p>
    <w:p>
      <w:r>
        <w:rPr>
          <w:b/>
        </w:rPr>
        <w:t>E. 3.1</w:t>
      </w:r>
    </w:p>
    <w:p>
      <w:r>
        <w:t>Die Gesuchstellerin stützt ihr Rechtsbegehren im Revisionsverfahren auf Art. 123 Abs. 2 lit. a BGG . Sie macht Ausstandsgründe gegen den angeordneten Gutachter geltend, welche sie erst nach weiteren Abklärungsanstrengungen herausgefunden habe. Es handle sich beim entsprechenden Gutachter um einen Experten, der Mitglied der Schweizerischen Gesellschaft der Vertrauens- und Versicherungsärzte sei und somit Gutachten für Versicherungen und die Gesuchsgegnerin erstelle. Dies führe zu einer finanziellen Abhängigkeit seinerseits.</w:t>
      </w:r>
    </w:p>
    <w:p>
      <w:r>
        <w:rPr>
          <w:b/>
        </w:rPr>
        <w:t>E. 3.2</w:t>
      </w:r>
    </w:p>
    <w:p>
      <w:r>
        <w:t>Die aufgeführten Ausstandsgründe gegen den eingesetzten Gutachter stellen keine neuen erheblichen Tatsachen im Sinne von Art. 123 Abs. 2 lit. a BGG dar (E. 2.3). Die Versicherte bringt vor, die entsprechenden Informationen seien ihr erst aufgrund von Recherchen nach dem Nichteintretensentscheid bekannt geworden. Dass sie diese Erkenntnisse zuvor trotz hinreichender Sorgfalt nicht hätte erlangen können, macht sie nicht geltend und ist auch nicht ersichtlich, zumal es sich gemäss Gesuchstellerin um Ergebnisse einer Internetrecherche handelt. Sie holt im vorliegenden Verfahren lediglich das im ersten Verfahren (9C_696/2016) Versäumte nach. Ein Revisionsgrund nach Art. 123 Abs. 2 lit. a BGG liegt schon aus diesem Grund nicht vor.</w:t>
      </w:r>
    </w:p>
    <w:p>
      <w:r>
        <w:rPr>
          <w:b/>
        </w:rPr>
        <w:t>E. 4</w:t>
      </w:r>
    </w:p>
    <w:p>
      <w:r>
        <w:t>Mit dem Entscheid in der Sache wird das Gesuch um Sistierung des Abklärungsverfahrens im Sinne einer vorsorglichen Massnahme nach Art. 126 BGG gegenstandslos.</w:t>
      </w:r>
    </w:p>
    <w:p>
      <w:r>
        <w:rPr>
          <w:b/>
        </w:rPr>
        <w:t>E. 5</w:t>
      </w:r>
    </w:p>
    <w:p>
      <w:r>
        <w:t>Dem Verfahrensausgang entsprechend sind die Gerichtskosten der Gesuchstellerin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