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7/2015 vom 27. Juli 2015</w:t>
      </w:r>
    </w:p>
    <w:p>
      <w:r>
        <w:t>Bundesgericht, 2015-07-27, DE</w:t>
      </w:r>
    </w:p>
    <w:p>
      <w:r>
        <w:rPr>
          <w:b/>
        </w:rPr>
        <w:t xml:space="preserve">Quelle: </w:t>
      </w:r>
      <w:r>
        <w:t>https://mcp.opencaselaw.ch/entscheid/bger_9F_7_2015</w:t>
      </w:r>
    </w:p>
    <w:p>
      <w:r>
        <w:t>FR: TF 9F 7/2015 du 27 juillet 2015</w:t>
      </w:r>
    </w:p>
    <w:p>
      <w:r>
        <w:t>IT: TF 9F 7/2015 del 27 luglio 2015</w:t>
      </w:r>
    </w:p>
    <w:p>
      <w:pPr>
        <w:pStyle w:val="Heading2"/>
      </w:pPr>
      <w:r>
        <w:t>Regeste</w:t>
      </w:r>
    </w:p>
    <w:p>
      <w:r>
        <w:t>Invalidenversicherung | Invalidenversicherung</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das Dispositiv des früheren Urteils abzuändern ist (Urteil 8F_10/2012 vom 28. August 2012 E. 1 mit Hinweis).</w:t>
      </w:r>
    </w:p>
    <w:p>
      <w:r>
        <w:rPr>
          <w:b/>
        </w:rPr>
        <w:t>E. 2.1</w:t>
      </w:r>
    </w:p>
    <w:p>
      <w:r>
        <w:t>Der Gesuchsteller stützt sein Rechtsbegehren im Revisionsverfahren auf Art. 121 lit. c BGG , wonach die Revision eines (bundesgerichtlichen) Entscheids verlangt werden kann, wenn einzelne Anträge unbeurteilt geblieben sind. Das Bundesgericht hat die Anträge der Parteien zu behandeln, sofern sie gesetzeskonform gestellt werden. Darunter fallen sowohl solche in der Sache als auch Anträge zu den Kosten- und Entschädigungsfolgen. Keine Anträge im Sinne des Gesetzes bilden einzelne Vorbringen bzw. Rügen der Parteien (Urteil 1F_4/2013 vom 15. Februar 2013 E. 2.2 mit Hinweis auf ELISABETH ESCHER, Basler Kommentar Bundesgerichtsgesetz, 2. Aufl. 2011, N. 8 zu Art. 121 BGG ).</w:t>
      </w:r>
    </w:p>
    <w:p>
      <w:r>
        <w:rPr>
          <w:b/>
        </w:rPr>
        <w:t>E. 2.2</w:t>
      </w:r>
    </w:p>
    <w:p>
      <w:r>
        <w:t>Die in der Vernehmlassung vom 1. April 2015 gestellten Anträge lauteten: "Es sei die Beschwerde in öffentlich-rechtlichen Angelegenheiten vollumfänglich abzuweisen. Unter Kosten- und Entschädigungsfolgen zu Lasten der Beschwerdeführerin (inkl. 8 % MWST)."</w:t>
      </w:r>
    </w:p>
    <w:p>
      <w:r>
        <w:rPr>
          <w:b/>
        </w:rPr>
        <w:t>E. 2.3</w:t>
      </w:r>
    </w:p>
    <w:p>
      <w:r>
        <w:t>Mit Urteil 9C_37/2015 vom 17. Juni 2015 hat das Bundesgericht die Beschwerde der IV-Stelle abgewiesen und ihr die Gerichtskosten von Fr. 800.- auferlegt. Wie der Gesuchsteller zutreffend darlegt, hat es jedoch den in der Vernehmlassung gestellten Antrag in Bezug auf die Entschädigungsfolgen übersehen und darüber nicht entschieden. Die beantragte Revision des bundesgerichtlichen Entscheids ( Art. 121 lit. c BGG ) ist insoweit begründet. Dem (fristgerecht gestellten; Art. 124 Abs. 1 lit. b BGG ) Revisionsgesuch ist zu entsprechen und dem im Verfahren 9C_37/2015 obsiegenden Gesuchsteller zu Lasten der IV-Stelle eine Parteientschädigung zuzusprechen.</w:t>
      </w:r>
    </w:p>
    <w:p>
      <w:r>
        <w:rPr>
          <w:b/>
        </w:rPr>
        <w:t>E. 3</w:t>
      </w:r>
    </w:p>
    <w:p>
      <w:r>
        <w:t>Auf einen Schriftenwechsel wird aus prozessökonomischen Gründen verzichtet. Die Einholung einer (vorinstanzlichen) Stellungnahme käme einem Leerlauf gleich und würde nur weitere Kosten verursachen.</w:t>
      </w:r>
    </w:p>
    <w:p>
      <w:r>
        <w:rPr>
          <w:b/>
        </w:rPr>
        <w:t>E. 4</w:t>
      </w:r>
    </w:p>
    <w:p>
      <w:r>
        <w:t>Für das Revisionsverfahren sind umständehalber keine Gerichtskosten zu erheben ( Art. 66 Abs. 1 Satz 2 BGG ). Dem Gesuchsteller ist aus der Bundesgerichtskasse eine angemessene Parteientschädigung auszurichten ( Art. 68 Abs. 1 und 2 BGG ; vgl. auch THOMAS GEISER, Basler Kommentar Bundesgerichtsgesetz, 2. Aufl. 2011, N. 12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