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9F_6/2016 vom 29. November 2016</w:t>
      </w:r>
    </w:p>
    <w:p>
      <w:r>
        <w:t>Bundesgericht, 2016-11-29, DE</w:t>
      </w:r>
    </w:p>
    <w:p>
      <w:r>
        <w:rPr>
          <w:b/>
        </w:rPr>
        <w:t xml:space="preserve">Quelle: </w:t>
      </w:r>
      <w:r>
        <w:t>https://mcp.opencaselaw.ch/entscheid/bger_9F_6_2016</w:t>
      </w:r>
    </w:p>
    <w:p>
      <w:r>
        <w:t>FR: TF 9F_6/2016 du 29 novembre 2016</w:t>
      </w:r>
    </w:p>
    <w:p>
      <w:r>
        <w:t>IT: TF 9F_6/2016 del 29 novembre 2016</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Es ist aufzuzeigen, weshalb dieser gegeben und inwiefern das Dispositiv des früheren Urteils abzuändern ist (Urteil 8F_10/2012 vom 28. August 2012 E. 1 mit Hinweis).</w:t>
      </w:r>
    </w:p>
    <w:p>
      <w:r>
        <w:rPr>
          <w:b/>
        </w:rPr>
        <w:t>E. 2.1</w:t>
      </w:r>
    </w:p>
    <w:p>
      <w:r>
        <w:t>Die Gesuchstellerin stützt ihr Rechtsbegehren im Revisionsverfahren auf Art. 121 lit. c BGG , wonac h die Revision eines (bundesgerichtlichen) Entscheids verlangt werden kann, wenn einzelne Anträge unbeurteilt geblieben sind. Im Auge hat sie dabei ihre (Eventual-) Anträge, die sie in der Begründung ihrer Vernehmlassung im Verfahren 9C_700/2015 vorgebracht hat: Beurteilung der Frage nach einer 100%igen Erwerbstätigkeit oder entsprechende Rückweisung an das kantonale Gericht.</w:t>
      </w:r>
    </w:p>
    <w:p>
      <w:r>
        <w:rPr>
          <w:b/>
        </w:rPr>
        <w:t>E. 2.2</w:t>
      </w:r>
    </w:p>
    <w:p>
      <w:r>
        <w:t>Ob und inwieweit es sich dabei um Anträge oder "blosse" Rügen handelt, kann offenbleiben. Eine diesbezügliche Auseinandersetzung resp. Klärung war nämlich obsolet geworden, weil der Statusfrage angesichts des für das Bundesgericht verbindlichen Sachverhaltes und der auf BGE 142 V 290 (= Urteil 9C_178/2015 vom 4. Mai 2016) gründenden präzisierten Rechtsprechung keine Rolle mehr zukam. Die Revision dient nicht dazu, allfällige Rechtsfehler (insbesondere eine Verletzung des Anspruchs auf rechtliches Gehör gemäss Art. 29 Abs. 2 BV ) zu korrigieren oder in der urspünglichen Rechtsschrift Verpasstes (wie die Rüge der willkürlichen Sachverhaltsfeststellung durch die Vorinstanz) nachzuholen (Urteil 2F_20/2012 vom 25. September 2012 E. 2.1 mit Hinweisen). Ein Revisionsgrund nach Art. 121 lit. c BGG liegt demnach nicht vor.</w:t>
      </w:r>
    </w:p>
    <w:p>
      <w:r>
        <w:rPr>
          <w:b/>
        </w:rPr>
        <w:t>E. 3</w:t>
      </w:r>
    </w:p>
    <w:p>
      <w:r>
        <w:t>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