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5/2020 vom 22. September 2020</w:t>
      </w:r>
    </w:p>
    <w:p>
      <w:r>
        <w:t>Bundesgericht, 2020-09-22, FR</w:t>
      </w:r>
    </w:p>
    <w:p>
      <w:r>
        <w:rPr>
          <w:b/>
        </w:rPr>
        <w:t xml:space="preserve">Quelle: </w:t>
      </w:r>
      <w:r>
        <w:t>https://mcp.opencaselaw.ch/entscheid/bger_9F_5_2020</w:t>
      </w:r>
    </w:p>
    <w:p>
      <w:r>
        <w:t>FR: TF 9F 5/2020 du 22 septembre 2020</w:t>
      </w:r>
    </w:p>
    <w:p>
      <w:r>
        <w:t>IT: TF 9F 5/2020 del 22 settembre 2020</w:t>
      </w:r>
    </w:p>
    <w:p>
      <w:pPr>
        <w:pStyle w:val="Heading2"/>
      </w:pPr>
      <w:r>
        <w:t>Regeste</w:t>
      </w:r>
    </w:p>
    <w:p>
      <w:r>
        <w:t>Prévoyance professionnelle | Prévoyance professionnelle</w:t>
      </w:r>
    </w:p>
    <w:p>
      <w:pPr>
        <w:pStyle w:val="Heading2"/>
      </w:pPr>
      <w:r>
        <w:t>Erwägungen</w:t>
      </w:r>
    </w:p>
    <w:p>
      <w:r>
        <w:rPr>
          <w:b/>
        </w:rPr>
        <w:t>E. 1</w:t>
      </w:r>
    </w:p>
    <w:p>
      <w:r>
        <w:t>Voie de droit extraordinaire, la révision d'un arrêt du Tribunal fédéral peut être demandée pour les motifs énumérés aux art. 121 à 123 LTF.</w:t>
      </w:r>
    </w:p>
    <w:p>
      <w:r>
        <w:rPr>
          <w:b/>
        </w:rPr>
        <w:t>E. 1.1</w:t>
      </w:r>
    </w:p>
    <w:p>
      <w:r>
        <w:t>En vertu de l' art. 121 let . d LTF, la révision d'un arrêt du Tribunal fédéral peut être demandée, notamment, si, par inadvertance, le tribunal n'a pas pris en considération des faits pertinents qui ressortent du dossier. L'inadvertance au sens de cette disposition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de l'application du droit. En outre, ce motif de révision ne peut être invoqué que si les faits qui n'ont pas été pris en considération sont "pertinents": il doit s'agir de faits susceptibles d'entraîner une décision différente de celle qui a été prise et plus favorable au requérant (cf. arrêt 1F_16/2008 du 11 août 2008 consid. 3, in SJ 2008 I p. 465; ATF 122 II 17 consid. 3 p. 18 et les références).</w:t>
      </w:r>
    </w:p>
    <w:p>
      <w:r>
        <w:rPr>
          <w:b/>
        </w:rPr>
        <w:t>E. 1.2</w:t>
      </w:r>
    </w:p>
    <w:p>
      <w:r>
        <w:t>En vertu de l' art. 123 al. 2 let. a LTF , la révision peut également être demandée dans les affaires de droit public, si le requérant découvre après coup des faits pertinents ou des moyens de preuve concluants qu'il n'avait pas pu invoquer dans la procédure précédente, à l'exclusion des faits ou moyens de preuve postérieurs à l'arrêt. Ne constituent pas des motifs de révision une éventuelle violation du droit fédéral ou une mauvaise appréciation juridique des faits, une jurisprudence nouvelle ou ancienne, mais omise, ainsi qu'une nouvelle loi (cf. PIERRE FERRARI, Commentaire de la LTF, 2e éd. 2014, n° 15 ad art. 123 LTF et la jurisprudence citée).</w:t>
      </w:r>
    </w:p>
    <w:p>
      <w:r>
        <w:rPr>
          <w:b/>
        </w:rPr>
        <w:t>E. 2</w:t>
      </w:r>
    </w:p>
    <w:p>
      <w:r>
        <w:t>A l'appui de sa demande de révision, la requérante allègue que la juridiction cantonale et le Tribunal fédéral ont par inadvertance mal interprété la dernière phrase de l'art. 33 al. 4 du règlement de la caisse intimée et omis par mégarde d'examiner les trois premiers alinéas de cette disposition. Elle soutient en substance que cette disposition ne pouvait s'appliquer à B.________ dans la mesure où, s'il bénéficiait bien d'une rente de la fondation RESOR, il ne touchait pas de retraite anticipée de l'institution de prévoyance intimée de sorte que ses ayants droit n'avaient aucun droit à des prestations en cas de décès.</w:t>
      </w:r>
    </w:p>
    <w:p>
      <w:r>
        <w:rPr>
          <w:b/>
        </w:rPr>
        <w:t>E. 3.1</w:t>
      </w:r>
    </w:p>
    <w:p>
      <w:r>
        <w:t>En l'occurrence, la juridiction cantonale et le Tribunal fédéral ont établi de façon claire et sans équivoque que l'affiliation de B.________ auprès de la caisse de prévoyance s'était poursuivie au-delà de la fin des rapports de travail. Selon l'art. 33 al. 4 du règlement de la caisse intimée, un assuré qui bénéficiait d'une retraite anticipée selon les conventions collectives (FAR ou RESOR) continuait d'être affilié à la caisse de prévoyance jusqu'au jour de la retraite réglementaire (1ère phrase). Le décès de l'assuré au cours de la période transitoire ouvrait pour le conjoint survivant le droit aux prestations de survivants de retraités (4ème phrase), soit en l'espèce le droit à une rente (arrêts 9C_224/2010 du 1 er septembre 2010 consid. 2.2 et 9C_146/2012 du 12 novembre 2012 consid. 4.2.2.1).</w:t>
      </w:r>
    </w:p>
    <w:p>
      <w:r>
        <w:rPr>
          <w:b/>
        </w:rPr>
        <w:t>E. 3.2</w:t>
      </w:r>
    </w:p>
    <w:p>
      <w:r>
        <w:t>En tant que la requérante persiste, dans le cadre de la présente demande de révision, à réclamer le versement d'un capital-décès en lieu et place d'une rente de conjoint survivant, elle cherche simplement à remettre en cause l'appréciation juridique retenue par la juridiction cantonale et le Tribunal fédéral au cours des différentes procédures qui ont précédé en se livrant à une nouvelle interprétation des dispositions réglementaires applicables. La voie de la révision n'est toutefois pas ouverte pour remettre en cause l'appréciation juridique contenue dans l'arrêt dont la révision est demandée, lorsque celle-ci ne répond pas aux attentes de la partie requérante (arrêt 1F_10/2011 du 29 mars 2011 consid. 4). Les griefs que fait valoir la requérante sont donc irrecevables, faute de constituer des motifs de révision au sens de la LTF.</w:t>
      </w:r>
    </w:p>
    <w:p>
      <w:r>
        <w:rPr>
          <w:b/>
        </w:rPr>
        <w:t>E. 4.1</w:t>
      </w:r>
    </w:p>
    <w:p>
      <w:r>
        <w:t>La demande de révision doit par conséquent être déclarée irrecevable, sans qu'il y ait lieu d'examiner les diverses prétentions en dommages-intérêts formulées par la requérante.</w:t>
      </w:r>
    </w:p>
    <w:p>
      <w:r>
        <w:rPr>
          <w:b/>
        </w:rPr>
        <w:t>E. 4.2</w:t>
      </w:r>
    </w:p>
    <w:p>
      <w:r>
        <w:t>Étant donné l'issue du litige, les frais judiciaires doivent être supportés par la requérante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