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9F_5/2008 vom 4. März 2009</w:t>
      </w:r>
    </w:p>
    <w:p>
      <w:r>
        <w:t>Bundesgericht, 2009-03-04, FR</w:t>
      </w:r>
    </w:p>
    <w:p>
      <w:r>
        <w:rPr>
          <w:b/>
        </w:rPr>
        <w:t xml:space="preserve">Quelle: </w:t>
      </w:r>
      <w:r>
        <w:t>https://mcp.opencaselaw.ch/entscheid/bger_9F_5_2008</w:t>
      </w:r>
    </w:p>
    <w:p>
      <w:r>
        <w:t>FR: TF 9F_5/2008 du 4 mars 2009</w:t>
      </w:r>
    </w:p>
    <w:p>
      <w:r>
        <w:t>IT: TF 9F_5/2008 del 4 marzo 2009</w:t>
      </w:r>
    </w:p>
    <w:p>
      <w:pPr>
        <w:pStyle w:val="Heading2"/>
      </w:pPr>
      <w:r>
        <w:t>Erwägungen</w:t>
      </w:r>
    </w:p>
    <w:p>
      <w:r>
        <w:rPr>
          <w:b/>
        </w:rPr>
        <w:t>E. 1</w:t>
      </w:r>
    </w:p>
    <w:p>
      <w:r>
        <w:t>Conformément à l' art. 54 al. 1 LTF , la présente procédure est conduite dans la langue de l'arrêt attaqué, savoir le français, qui est d'ailleurs aussi la langue dans laquelle le demandeur en révision s'exprime.</w:t>
      </w:r>
    </w:p>
    <w:p>
      <w:r>
        <w:t>On pourrait ainsi attendre de la Fondation institution supplétive LPP, qui a répondu en allemand, qu'elle procède à l'avenir également dans la langue de la décision attaquée (cf. ATF 130 I 234 consid. 3.5 p. 239), compte tenu de son statut et de ses attributions légales ( art. 60 LPP ).</w:t>
      </w:r>
    </w:p>
    <w:p>
      <w:r>
        <w:rPr>
          <w:b/>
        </w:rPr>
        <w:t>E. 2</w:t>
      </w:r>
    </w:p>
    <w:p>
      <w:r>
        <w:t>Le requérant invoque trois motifs à l'appui de sa demande de révision. En premier lieu, il reproche à la Cour de céans d'avoir omis de prendre en considération des faits pertinents résultant du dossier ( art. 121 let . d LTF), singulièrement d'avoir constaté à tort qu'il avait perçu au maximum 250 indemnités journalières de chômage durant les mois de juillet 2000 à juin 2002 (comme indiqué au consid. 6.3 de l'arrêt attaqué), alors qu'en réalité il en avait perçu 515 jusqu'en juin 2002 y compris. Il fait ensuite grief au Tribunal fédéral d'avoir omis de statuer sur certaines conclusions ( art. 121 let . c LTF), particulièrement sur le droit aux rentes d'invalidité de la fondation intimée. Enfin, il invoque des faits pertinents découverts après coup ( art. 123 al. 2 let. a LTF ), savoir le versement des 515 indemnités.</w:t>
      </w:r>
    </w:p>
    <w:p>
      <w:r>
        <w:rPr>
          <w:b/>
        </w:rPr>
        <w:t>E. 3.1</w:t>
      </w:r>
    </w:p>
    <w:p>
      <w:r>
        <w:t>L' art. 124 LTF règle les délais concernant le dépôt d'une demande de révision devant le Tribunal fédéral. La loi prévoit ainsi que pour la violation des dispositions sur la récusation, la demande doit être déposée dans les 30 jours qui suivent le motif de récusation (al. 1 let. a), tandis que pour la violation d'autres règles de procédure, le délai de 30 jours court dès la notification de l'expédition complète de l'arrêt (al. 1 let. b).</w:t>
      </w:r>
    </w:p>
    <w:p>
      <w:r>
        <w:t>En l'espèce, le requérant a présenté sa demande de révision le 11 avril 2008, alors que l'arrêt attaqué avait été notifié le 17 janvier précédent à son mandataire. Eu égard à la tardiveté de la requête, la Cour de céans ne saurait dès lors examiner le bien-fondé des deux griefs que le requérant soulève à propos de la violation de règles de procédure ( art. 121 let . c et d LTF).</w:t>
      </w:r>
    </w:p>
    <w:p>
      <w:r>
        <w:rPr>
          <w:b/>
        </w:rPr>
        <w:t>E. 3.2</w:t>
      </w:r>
    </w:p>
    <w:p>
      <w:r>
        <w:t>Quant au motif de révision tiré de la découverte après coup de faits pertinents ( art. 123 al. 2 let. a LTF ), il est assurément mal fondé, car les faits invoqués (en particulier la période durant laquelle les indemnités journalières ont été versées) étaient connus du requérant avant la procédure précédente (ils ont été allégués dans l'action du 23 mars 2005). En d'autres termes, ces faits n'étaient pas nouveaux, au sens de la disposition légale précitée (sur cette question, voir par ex. ELISABETH ESCHER, Bundesgerichtsgesetz, commentaire bâlois, n. 5 ad art. 123), mais ils auraient pu ou dû être allégués dans le cadre de l' art. 121 let . d LTF.</w:t>
      </w:r>
    </w:p>
    <w:p>
      <w:r>
        <w:rPr>
          <w:b/>
        </w:rPr>
        <w:t>E. 3.3</w:t>
      </w:r>
    </w:p>
    <w:p>
      <w:r>
        <w:t>Il s'ensuit que la demande de révision est mal fondée, dans la mesure où elle est recevable.</w:t>
      </w:r>
    </w:p>
    <w:p>
      <w:r>
        <w:rPr>
          <w:b/>
        </w:rPr>
        <w:t>E. 4</w:t>
      </w:r>
    </w:p>
    <w:p>
      <w:r>
        <w:t>Vu l'issue du litige, les frais judiciaires doivent être mis à la charge du requérant qui succombe ( art. 66 al. 1 LTF ). Comme il remplit les conditions du droit à l'assistance judiciaire, il sera provisoirement dispensé du paiement des frais ( art. 64 al. 1 LTF ), l' art. 64 al. 4 LTF étant réservé.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