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9F_4/2010 vom 21. Juni 2010</w:t>
      </w:r>
    </w:p>
    <w:p>
      <w:r>
        <w:t>Bundesgericht, 2010-06-21, DE</w:t>
      </w:r>
    </w:p>
    <w:p>
      <w:r>
        <w:rPr>
          <w:b/>
        </w:rPr>
        <w:t xml:space="preserve">Quelle: </w:t>
      </w:r>
      <w:r>
        <w:t>https://mcp.opencaselaw.ch/entscheid/bger_9F_4_2010</w:t>
      </w:r>
    </w:p>
    <w:p>
      <w:r>
        <w:t>FR: TF 9F_4/2010 du 21 juin 2010</w:t>
      </w:r>
    </w:p>
    <w:p>
      <w:r>
        <w:t>IT: TF 9F_4/2010 del 21 giugno 2010</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w:t>
      </w:r>
    </w:p>
    <w:p>
      <w:r>
        <w:rPr>
          <w:b/>
        </w:rPr>
        <w:t>E. 1.2</w:t>
      </w:r>
    </w:p>
    <w:p>
      <w:r>
        <w:t>Gemäss Art. 121 lit. d BGG kann die Revision eines Entscheids des Bundesgerichts verlangt werden, wenn das Gericht in den Akten liegende erhebliche Tatsachen aus Versehen nicht berücksichtigt hat. Nach der Rechtsprechung sind Tatsachen erheblich, die geeignet sind, die tatbeständliche Grundlage eines ergangenen Urteils zu verändern und bei zutreffender rechtlicher Würdigung zu einem anderen Ergebnis zu führen (vgl. BGE 118 II 199 E. 5 S. 204 f., Urteil 8F_4/2009 vom 24. August 2009 E. 1.2, je mit Hinweis).</w:t>
      </w:r>
    </w:p>
    <w:p>
      <w:r>
        <w:rPr>
          <w:b/>
        </w:rPr>
        <w:t>E. 2.1</w:t>
      </w:r>
    </w:p>
    <w:p>
      <w:r>
        <w:t>Begründet wird das Revisionsgesuch damit, das Bundesgericht habe den Entscheid C-5666/2008 des Bundesverwaltungsgerichts vom 25. Mai 2009 und die Stellungnahme vom 10. August 2006 des Bundesamtes für Justiz, Abteilung für Beschwerden an den Bundesrat, nicht berücksichtigt, wonach es "sich bei der ausserkantonalen Wahlbehandlung um eine Behandlung handelt, die nicht dem Tarifrecht und dem Tarifschutz des KVG untersteht".</w:t>
      </w:r>
    </w:p>
    <w:p>
      <w:r>
        <w:rPr>
          <w:b/>
        </w:rPr>
        <w:t>E. 2.2</w:t>
      </w:r>
    </w:p>
    <w:p>
      <w:r>
        <w:t>Von dieser Rechtslage geht auch die Rechtsprechung des Bundesgerichts aus, namentlich auch im hier zur Diskussion stehenden Urteil 9C_569/2009 E. 3.3, weshalb kein Grund bestand, ausdrücklich auf die gleichlautenden Urteile bzw. Stellungnahmen hinzuweisen. Präzisierend ist anzumerken, dass zwar der vom ausserkantonalen Leistungserbringer in Rechnung gestellte Betrag nicht dem Tarifschutz nach KVG untersteht, indessen die obligatorische Krankenpflegeversicherung gemäss aArt. 41 Abs. 1 Satz 3 KVG sich an den Kosten im Umfang eines nach KVG erlassenen Wohnkantontarifs beteiligen muss (vgl. z.B. BGE 133 V 123 ).</w:t>
      </w:r>
    </w:p>
    <w:p>
      <w:r>
        <w:rPr>
          <w:b/>
        </w:rPr>
        <w:t>E. 2.3</w:t>
      </w:r>
    </w:p>
    <w:p>
      <w:r>
        <w:t>Die Gutheissung der Beschwerde wurde damit begründet, dass nach der Klage- und Beschwerdebegründung umstritten und nicht rechtsverbindlich geklärt sei, welcher OKP-Tarif für den gemäss aArt. 41 Abs. 1 Satz 3 KVG von der obligatorischen Krankenpflegeversicherung zu übernehmenden Anteil massgebend sei; (nur) zur Beurteilung dieser Frage wurde an das Schiedsgericht zurückgewiesen. Dass insoweit das Urteil des Bundesgerichts auf einer nicht berücksichtigten Tatsache beruhen würde, wird von der Gesuchstellerin nicht geltend gemacht. Entgegen ihrer Darstellung wird im Urteil des Bundesgerichts auch nicht in Frage gestellt, dass die Differenz zwischen dem vom Schiedsgericht festzulegenden, für die Vergütung nach aArt. 41 Abs. 1 Satz 3 KVG massgebenden Tarif, und dem von der Gesuchstellerin in Rechnung gestellten Betrag zu Lasten des Patienten bzw. einer allfälligen Zusatzversicherung geht und nicht eine KVG-rechtliche, sondern eine privatrechtliche Frage ist (vgl. E. 3.3 in fine des Urteils 9C_569/2009).</w:t>
      </w:r>
    </w:p>
    <w:p>
      <w:r>
        <w:rPr>
          <w:b/>
        </w:rPr>
        <w:t>E. 3</w:t>
      </w:r>
    </w:p>
    <w:p>
      <w:r>
        <w:t>Weil das Bundesgericht keine erhebliche Tatsachen aus Versehen nicht berücksichtigt hat, ist ein Revisionsgrund gemäss Art. 121 lit. d BGG nicht ausgewiesen und somit das Revisionsgesuch unbegründet und deshalb ohne Schriftenwechsel ( Art. 127 BGG ) abzuweisen.</w:t>
      </w:r>
    </w:p>
    <w:p>
      <w:r>
        <w:rPr>
          <w:b/>
        </w:rPr>
        <w:t>E. 4</w:t>
      </w:r>
    </w:p>
    <w:p>
      <w:r>
        <w:t>Dem Ausgang des Verfahrens entsprechend sind die bundesgerichtlichen 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