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4/2007 vom 23. August 2007</w:t>
      </w:r>
    </w:p>
    <w:p>
      <w:r>
        <w:t>Bundesgericht, 2007-08-23, DE</w:t>
      </w:r>
    </w:p>
    <w:p>
      <w:r>
        <w:rPr>
          <w:b/>
        </w:rPr>
        <w:t xml:space="preserve">Quelle: </w:t>
      </w:r>
      <w:r>
        <w:t>https://mcp.opencaselaw.ch/entscheid/bger_9F_4_2007</w:t>
      </w:r>
    </w:p>
    <w:p>
      <w:r>
        <w:t>FR: TF 9F 4/2007 du 23 août 2007</w:t>
      </w:r>
    </w:p>
    <w:p>
      <w:r>
        <w:t>IT: TF 9F 4/2007 del 23 agosto 2007</w:t>
      </w:r>
    </w:p>
    <w:p>
      <w:pPr>
        <w:pStyle w:val="Heading2"/>
      </w:pPr>
      <w:r>
        <w:t>Regeste</w:t>
      </w:r>
    </w:p>
    <w:p>
      <w:r>
        <w:t>Invalidenversicherung | Invalidenversicherung</w:t>
      </w:r>
    </w:p>
    <w:p>
      <w:pPr>
        <w:pStyle w:val="Heading2"/>
      </w:pPr>
      <w:r>
        <w:t>Erwägungen</w:t>
      </w:r>
    </w:p>
    <w:p>
      <w:r>
        <w:rPr>
          <w:b/>
        </w:rPr>
        <w:t>E. 1</w:t>
      </w:r>
    </w:p>
    <w:p>
      <w:r>
        <w:t>Das Revisionsverfahren ist nach dem am 1. Januar 2007 erfolgten (AS 2006 1205, 1243) Inkrafttreten des Bundesgesetzes über das Bundesgericht vom 17. Juni 2005 (BGG; SR 173.110) eingeleitet worden, weshalb es sich nach diesem Gesetz richtet ( Art. 132 Abs. 1 BGG e contrario; Urteil 6F_1/2007 vom 9. Mai 2007).</w:t>
      </w:r>
    </w:p>
    <w:p>
      <w:r>
        <w:rPr>
          <w:b/>
        </w:rPr>
        <w:t>E. 2</w:t>
      </w:r>
    </w:p>
    <w:p>
      <w:r>
        <w:t>Der Gesuchsteller ruft sinngemäss den Revisionsgrund des Art. 123 Abs. 2 lit. a BGG an. Danach kann die Revision u.a.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Gemäss Urteil 4F_3/2007 vom 27. Juni 2007 behält die zu Art. 137 lit. b OG (aufgehoben per Ende 2006) ergangene Rechtsprechung unter der Herrschaft des BGG weiterhin ihre Gültigkeit. Laut dieser Gerichtspraxis sind Tatsachen erheblich, wenn sie geeignet sind, die tatbeständliche Grundlage des angefochtenen Urteils zu verändern und bei zutreffender rechtlicher Würdigung zu einer anderen Entscheidung zu führen ( BGE 110 V 138 E. 2 S. 141, 291 E. 2a S. 293, 108 V 170 E. 1 S. 171; vgl. auch BGE 118 II 199 S. 205).</w:t>
      </w:r>
    </w:p>
    <w:p>
      <w:r>
        <w:rPr>
          <w:b/>
        </w:rPr>
        <w:t>E. 3</w:t>
      </w:r>
    </w:p>
    <w:p>
      <w:r>
        <w:t>Der Gesuchsteller bringt weder erhebliche Tatsachen vor, noch reicht er entscheidende Beweismittel ein. Er verweist ausschliesslich auf Aktenstücke der IV-Stelle und gerichtliche Eingaben, welche grösstenteils bereits vor Jahren rechtskräftig abgeschlossene Verfahren betreffen und daher von vornherein keine neuen Tatsachen enthalten können, die dem Revisionsgesuchsteller trotz hinreichender Sorgfalt nicht bekannt gewesen wären (vgl. BGE 110 V 138 E. 2 am Anfang S. 141). Was die Verweise auf IV-Aktenstücke aus dem Hauptverfahren anbelangt, sind die geltend gemachten Umstände - soweit überhaupt sachbezogen - offenkundig nicht geeignet, die tatbeständliche Grundlage des angefochtenen letztinstanzlichen Urteils vom 30. Oktober 2006 zu verändern und bei zutreffender rechtlicher Würdigung zu einer anderen Entscheidung zu führen. Das unbegründete Revisionsgesuch ist ohne Durchführung eines Schriftenwechsels ( Art. 127 BGG ) abzuweisen.</w:t>
      </w:r>
    </w:p>
    <w:p>
      <w:r>
        <w:rPr>
          <w:b/>
        </w:rPr>
        <w:t>E. 4</w:t>
      </w:r>
    </w:p>
    <w:p>
      <w:r>
        <w:t>Die Gerichtskosten werden dem Gesuchsteller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