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9F_3/2013 vom 23. April 2013</w:t>
      </w:r>
    </w:p>
    <w:p>
      <w:r>
        <w:t>Bundesgericht, 2013-04-23, DE</w:t>
      </w:r>
    </w:p>
    <w:p>
      <w:r>
        <w:rPr>
          <w:b/>
        </w:rPr>
        <w:t xml:space="preserve">Quelle: </w:t>
      </w:r>
      <w:r>
        <w:t>https://mcp.opencaselaw.ch/entscheid/bger_9F_3_2013</w:t>
      </w:r>
    </w:p>
    <w:p>
      <w:r>
        <w:t>FR: TF 9F_3/2013 du 23 avril 2013</w:t>
      </w:r>
    </w:p>
    <w:p>
      <w:r>
        <w:t>IT: TF 9F_3/2013 del 23 aprile 2013</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8F_4/2009 vom 24. August 2009 E. 1.1).</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w:t>
      </w:r>
    </w:p>
    <w:p>
      <w:r>
        <w:rPr>
          <w:b/>
        </w:rPr>
        <w:t>E. 2</w:t>
      </w:r>
    </w:p>
    <w:p>
      <w:r>
        <w:t>Der Gesuchsteller stützt sein Revisionsbegehren auf Art. 123 Abs. 2 lit. a BGG . Dazu bringt er zunächst sinngemäss vor, das Bundesgericht sei im Urteil 9C_252/2011 E. 6 massgebend auf eine Aussage in einem Bericht des "Tages-Anzeiger" eingegangen, die sich inzwischen als unrichtig erwiesen habe. Die im Revisionsgesuch verkürzte und aus dem Argumentationszusammenhang genommene Wiedergabe der betreffenden Passage gibt die entscheidwesentliche Aussage des Urteils nicht zutreffend wieder. Zunächst wurde in Urteil 9C_252/2011 E. 3-5 ausführlich dargelegt, dass (und weshalb) die vom Gesuchsteller praktizierte Verrechnung von TARMED-Tarifpositionen nicht den Charakter einer Tarifinterpretation hat, sondern auf eine Änderung der Tarifstruktur hinaus läuft, wofür indes die Paritätische Interpretationskommission TARMED (PIK), die Kantonale Paritätische Kommission (KPK), das Schiedsgericht in Sozialversicherungsstreitigkeiten und das Bundesgericht nicht zuständig seien. Denn Änderungen der Tarifstruktur seien im Rahmen von Tarifverhandlungen zu bewerkstelligen. Etwas anderes wird auch im Revisionsgesuch zu Recht nicht geltend gemacht. Mit dieser Feststellung war für das Gericht aber die Frage nach der Rechtskonformität der vom Gesuchsteller praktizierten Tarifanwendung entschieden. Erst im Anschluss daran fügte es (in E. 6) hinzu, dass es sich "nach dem Gesagten" erübrige, auf weitere Rügen einzugehen. In diesem Zusammenhang - deutlich hervorgehoben als nicht entscheidwesentliche Frage - behandelte das Bundesgericht das von der Krankenkasse vorgetragene Argument, wonach das Gerät bei besserer Auslastung kostendeckend betrieben werden könne. Die Kasse hatte diese Behauptung mittels eines Zeitungsartikels aufgestellt.</w:t>
      </w:r>
    </w:p>
    <w:p>
      <w:r>
        <w:rPr>
          <w:b/>
        </w:rPr>
        <w:t>E. 3</w:t>
      </w:r>
    </w:p>
    <w:p>
      <w:r>
        <w:t>Der Gesuchsteller reicht nun bald zwei Jahre nach dem hier angefochtenen Urteil ein kollektiv unterzeichnetes Schreiben des CEO und des CFO des Röntgen-Instituts vom 18. Dezember 2012 nach. Demnach soll ein kostendeckender Betrieb der Geräte selbst bei maximaler Auslastung unter den geltenden Tarifbestimmungen nicht möglich sein. Dies stellt in zweifacher Hinsicht keine revisionsrechtlich erhebliche neue Tatsache im Sinne von Art. 123 Abs. 2 lit. a BGG dar: Zunächst war - wie vorne erwähnt (E. 2) - die Frage der Kostendeckung im Verhältnis zum Auslastungsgrad der Geräte für das Urteil vom 14. Juli 2011 nicht entscheidwesentlich. Sodann hätten Angaben zur (fehlenden) Wirtschaftlichkeit der Geräte unter der aktuellen Tarifstruktur - wenn schon - früher, spätestens im Rahmen des am 25. März 2011 eingeleiteten letztinstanzlichen Verfahrens beigebracht werden können bzw. müssen. Was die Verhältnisse nach dem Urteil vom 14. Juli 2011 betrifft, können sie als echte Noven (vorne E. 1) nicht im Rahmen eines Revisionsverfahrens vorgebracht werden. Demnach fällt eine Revision des Urteils vom 14. Juli 2011 nach Art. 123 Abs. 2 lit. a BGG ausser Betracht.</w:t>
      </w:r>
    </w:p>
    <w:p>
      <w:r>
        <w:rPr>
          <w:b/>
        </w:rPr>
        <w:t>E. 4</w:t>
      </w:r>
    </w:p>
    <w:p>
      <w:r>
        <w:t>Dem Verfahrensausgang entsprechend sind die Gerichtskosten dem Gesuchsteller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