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9F_30/2024 vom 27. Februar 2026</w:t>
      </w:r>
    </w:p>
    <w:p>
      <w:r>
        <w:t>Bundesgericht, 2026-02-27, FR</w:t>
      </w:r>
    </w:p>
    <w:p>
      <w:r>
        <w:rPr>
          <w:b/>
        </w:rPr>
        <w:t xml:space="preserve">Quelle: </w:t>
      </w:r>
      <w:r>
        <w:t>https://mcp.opencaselaw.ch/entscheid/bger_9F_30_2024</w:t>
      </w:r>
    </w:p>
    <w:p>
      <w:r>
        <w:t>FR: TF 9F_30/2024 du 27 février 2026</w:t>
      </w:r>
    </w:p>
    <w:p>
      <w:r>
        <w:t>IT: TF 9F_30/2024 del 27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9F_30/2024</w:t>
      </w:r>
    </w:p>
    <w:p>
      <w:r>
        <w:t>Ordonnance du 27 février 2026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représenté par Me Yacine Rezki, avocat,</w:t>
      </w:r>
    </w:p>
    <w:p>
      <w:r>
        <w:t>requérant,</w:t>
      </w:r>
    </w:p>
    <w:p>
      <w:r>
        <w:t>contre</w:t>
      </w:r>
    </w:p>
    <w:p>
      <w:r>
        <w:t>Administration fiscale cantonale de la République et canton de Genève, rue du Stand 26, 1204 Genève,</w:t>
      </w:r>
    </w:p>
    <w:p>
      <w:r>
        <w:t>intimée.</w:t>
      </w:r>
    </w:p>
    <w:p>
      <w:r>
        <w:t>Objet</w:t>
      </w:r>
    </w:p>
    <w:p>
      <w:r>
        <w:t>Impôts cantonaux et communaux du canton de Genève et impôt fédéral direct, période fiscale 2008,</w:t>
      </w:r>
    </w:p>
    <w:p>
      <w:r>
        <w:t>demande de révision de l'arrêt du Tribunal fédéral suisse du 25 octobre 2023 (9C_368/2023 [arrêt A/2714/2020-ICCIFD ATA/404/2023]).</w:t>
      </w:r>
    </w:p>
    <w:p>
      <w:r>
        <w:t>Vu :</w:t>
      </w:r>
    </w:p>
    <w:p>
      <w:r>
        <w:t>les lettres des 6 février et 19 février 2026 par lesquelles A.________ a déclaré retirer sa demande de révision du 24 décembre 2024 (timbre postal) de l'arrêt du Tribunal fédéral suisse du 25 octobre 2023 (cause 9C_368/2023),</w:t>
      </w:r>
    </w:p>
    <w:p>
      <w:r>
        <w:t>considérant :</w:t>
      </w:r>
    </w:p>
    <w:p>
      <w:r>
        <w:t>que le juge instructeur statue comme juge unique sur la radiation du rôle des procédures achevées par un retrait ( art. 32 al. 1 et 2 LTF ),</w:t>
      </w:r>
    </w:p>
    <w:p>
      <w:r>
        <w:t>que le requérant a expressément signifié le retrait de sa demande de révision au Tribunal fédéral, après la reprise de la procédure suspendue pendant près d'une année,</w:t>
      </w:r>
    </w:p>
    <w:p>
      <w:r>
        <w:t>qu'il convient d'en prendre acte et de rayer la cause du rôle ( art. 73 al. 1 PCF par renvoi de l' art. 71 LTF ),</w:t>
      </w:r>
    </w:p>
    <w:p>
      <w:r>
        <w:t>qu'en principe, la partie qui retire son acte doit supporter les frais de l'instance fédérale (parmi plusieurs, ordonnance 5F_1/2022 du 10 mars 2022),</w:t>
      </w:r>
    </w:p>
    <w:p>
      <w:r>
        <w:t>qu'il n'y a pas lieu de déroger à cette règle,</w:t>
      </w:r>
    </w:p>
    <w:p>
      <w:r>
        <w:t>qu'il convient en conséquence de mettre des frais réduits à la charge du requérant ( art. 66 al. 2 LTF ),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de la demande de révision.</w:t>
      </w:r>
    </w:p>
    <w:p>
      <w:r>
        <w:t>2.</w:t>
      </w:r>
    </w:p>
    <w:p>
      <w:r>
        <w:t>Les frais judiciaires de 500 fr. sont mis à la charge du requérant.</w:t>
      </w:r>
    </w:p>
    <w:p>
      <w:r>
        <w:t>3.</w:t>
      </w:r>
    </w:p>
    <w:p>
      <w:r>
        <w:t>La présente ordonnance est communiquée aux parties, à la Cour de justice de la République et canton de Genève, Chambre administrative, 4ème section, et à l'Administration fédérale des contributions.</w:t>
      </w:r>
    </w:p>
    <w:p>
      <w:r>
        <w:t>Lucerne, le 27 février 2026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