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 22/2024 vom 12. November 2024</w:t>
      </w:r>
    </w:p>
    <w:p>
      <w:r>
        <w:t>Bundesgericht, 2024-11-12, IT</w:t>
      </w:r>
    </w:p>
    <w:p>
      <w:r>
        <w:rPr>
          <w:b/>
        </w:rPr>
        <w:t xml:space="preserve">Quelle: </w:t>
      </w:r>
      <w:r>
        <w:t>https://mcp.opencaselaw.ch/entscheid/bger_9F_22_2024</w:t>
      </w:r>
    </w:p>
    <w:p>
      <w:r>
        <w:t>FR: TF 9F 22/2024 du 12 novembre 2024</w:t>
      </w:r>
    </w:p>
    <w:p>
      <w:r>
        <w:t>IT: TF 9F 22/2024 del 12 novembre 2024</w:t>
      </w:r>
    </w:p>
    <w:p>
      <w:pPr>
        <w:pStyle w:val="Heading2"/>
      </w:pPr>
      <w:r>
        <w:t>Regeste</w:t>
      </w:r>
    </w:p>
    <w:p>
      <w:r>
        <w:t>Canone per le economie domestiche di tipo privato e le collettività secondo art. 69 ff. LRTV | Mass media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dell'istanza.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amministrativo federale, Corte I. Lucerna, 12 novembre 2024 In nome della III Corte di diritto pubblico del Tribunale federale svizzero Il Presidente: Parrino Il Cancelliere: Savoldelli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