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9F_15/2022 vom 26. Oktober 2022</w:t>
      </w:r>
    </w:p>
    <w:p>
      <w:r>
        <w:t>Bundesgericht, 2022-10-26, FR</w:t>
      </w:r>
    </w:p>
    <w:p>
      <w:r>
        <w:rPr>
          <w:b/>
        </w:rPr>
        <w:t xml:space="preserve">Quelle: </w:t>
      </w:r>
      <w:r>
        <w:t>https://mcp.opencaselaw.ch/entscheid/bger_9F_15_2022</w:t>
      </w:r>
    </w:p>
    <w:p>
      <w:r>
        <w:t>FR: TF 9F_15/2022 du 26 octobre 2022</w:t>
      </w:r>
    </w:p>
    <w:p>
      <w:r>
        <w:t>IT: TF 9F_15/2022 del 26 ottobre 2022</w:t>
      </w:r>
    </w:p>
    <w:p>
      <w:pPr>
        <w:pStyle w:val="Heading2"/>
      </w:pPr>
      <w:r>
        <w:t>Erwägungen</w:t>
      </w:r>
    </w:p>
    <w:p>
      <w:r>
        <w:rPr>
          <w:b/>
        </w:rPr>
        <w:t>E. 1</w:t>
      </w:r>
    </w:p>
    <w:p>
      <w:r>
        <w:t>Invoquant l' art. 50 LTF , par l'intermédiaire de son mandataire, le requérant sollicite la restitution du délai imparti au 31 août 2022 pour acquitter la première tranche de l'avance de frais.</w:t>
      </w:r>
    </w:p>
    <w:p>
      <w:r>
        <w:rPr>
          <w:b/>
        </w:rPr>
        <w:t>E. 1.1</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(al. 1). La restitution peut aussi être accordée après la notification de l'arrêt, qui est alors annulé (al. 2). Il s'agit là d'une exception au principe posé à l' art. 61 LTF , selon lequel les arrêts du Tribunal fédéral acquièrent force de chose jugée le jour où ils sont prononcés (cf. arrêt 6F_20/2022 du 24 août 2022 consid. 1.1 et les arrêts cités). Même si elle a des effets comparables, la restitution d'un délai après la notification de l'arrêt ne relève pas de la révision mais vise à procéder à la correction d'une omission (arrêts 6F_20/2022 précité consid. 1.1 et les références; 9F_13/2019 du 10 septembre 2019 consid. 1.1).</w:t>
      </w:r>
    </w:p>
    <w:p>
      <w:r>
        <w:t>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 6F_33/2018 du 31 octobre 2018 consid. 1.1 et les arrêts cités). Pour trancher la question de la restitution du délai de recours au Tribunal fédéral, une partie doit se laisser imputer la faute de son représentant (arrêt 6B_1079/2021 du 22 novembre 2021 consid. 2.1 destiné à la publication; ATF 143 I 284 consid. 1.3).</w:t>
      </w:r>
    </w:p>
    <w:p>
      <w:r>
        <w:rPr>
          <w:b/>
        </w:rPr>
        <w:t>E. 1.2</w:t>
      </w:r>
    </w:p>
    <w:p>
      <w:r>
        <w:t>En conséquence, tant la partie que son mandataire doivent avoir eu un comportement exempt de toute faute. Les principes de la représentation directe déploient tous leurs effets (arrêt 2C_511/2009 du 18 janvier 2010 consid. 5.3). A partir de la notification d'un acte judiciaire - qui est parfaite dès qu'elle parvient dans la sphère de pouvoir de l'avocat de la partie -, il appartient aux intéressés de s'organiser pour qu'il y soit donné suite. S'agissant d'aspects aussi fondamentaux que le respect d'un délai unique pour effectuer une avance de frais, il incombe à l'avocat de s'assurer que la communication qu'il adresse à son mandant lui est bien parvenue et de vérifier que celui-ci a effectué l'avance de frais en temps utile et de solliciter, le cas échéant, une prolongation du délai ( ATF 110 Ib 94 consid. 2; arrêts 2C_911/2010 du 7 avril 2011 consid. 3; 1D_7/2009 du 16 novembre 2009 consid. 4). Tout moyen utile peut être utilisé à cette fin, tel un appel téléphonique, la requête d'un accusé de réception ou un courrier électronique. Dans la mesure où il veut se dispenser de telles démarches, l'avocat peut simplement, d'entrée de cause, se faire provisionner à hauteur suffisante pour effectuer les avances de frais prévisibles auprès des tribunaux (cf. arrêt H 208/89 du 7 février 1990 consid. 2).</w:t>
      </w:r>
    </w:p>
    <w:p>
      <w:r>
        <w:rPr>
          <w:b/>
        </w:rPr>
        <w:t>E. 2.1</w:t>
      </w:r>
    </w:p>
    <w:p>
      <w:r>
        <w:t>A l'appui de sa demande de restitution de délai, le requérant indique qu'il est en incapacité de travail depuis plusieurs années en raison d'atteintes à la santé psychique et que celles-ci vont actuellement jusqu'à lui occasionner des troubles cognitifs qui l'empêchent de faire face à ses obligations les plus simples, comme celle de payer ses factures. Il fait également valoir qu'à réception de l'arrêt d'irrecevabilité du 8 septembre 2022, son avocat a immédiatement pris contact avec lui et que c'est à ce moment-là que son mandataire a été informé de l'évolution et de l'étendue de ses troubles cognitifs actuels. Par ailleurs, le frère et l'épouse de l'intéressé seraient désormais aussi pleinement au courant de ses problèmes de santé et veilleraient au respect des échéances de paiement, la deuxième tranche de l'avance de frais ayant à cet égard selon lui été acquittée dans le délai imparti au 28 septembre 2022.</w:t>
      </w:r>
    </w:p>
    <w:p>
      <w:r>
        <w:rPr>
          <w:b/>
        </w:rPr>
        <w:t>E. 2.2</w:t>
      </w:r>
    </w:p>
    <w:p>
      <w:r>
        <w:t>L'argumentation du recourant est mal fondée. En effet, conformément à la jurisprudence précédemment rappelée (consid. 1 supra), le requérant doit se laisser imputer une éventuelle omission de son mandataire. Or il ne prétend pas qu'après que son avocat l'a informé de l'ordonnance du 15 juillet 2022 concernant les délais supplémentaires pour s'acquitter de l'avance de frais par versements successifs, notifiée à l'étude du mandataire, celui-ci aurait été empêché de vérifier que le paiement de la première tranche de l'avance de frais avait bien été effectué avant l'échéance du délai fixé au 31 août 2022. Une telle attitude, diligente, aurait permis à l'avocat, respectivement à son mandant, de procéder au paiement requis sans laisser s'écouler le délai imparti.</w:t>
      </w:r>
    </w:p>
    <w:p>
      <w:r>
        <w:t>Au demeurant, en tant que le requérant invoque des atteintes à la santé comme motif de restitution du délai, il ne saurait être suivi. Certes, une maladie subite d'une certaine gravité qui empêche la personne intéressée de se présenter ou de prendre à temps les dispositions nécessaires peut justifier une restitution de délai. Seule la maladie survenant à la fin d'un délai et l'empêchant de défendre elle-même ses intérêts ou de recourir à temps aux services d'un tiers constitue un tel empêchement (arrêts 6B_659/2021 du 24 février 2022 consid. 2.1; 5A_280/2020 du 8 juillet 2020 consid. 3.1.1 in SJ 2020 I p. 465; cf. ATF 112 V 255 consid. 2a). Il ressort en l'espèce du certificat de la Consultation psychothérapeutique d'Appartenances du 26 septembre 2022 que le requérant, suivi depuis janvier 2022, "décrit" la présence de troubles cognitifs entraînant des difficultés à faire face aux activités quotidiennes, comme payer des factures, et que sa femme doit l'aider, voire "même faire les choses à sa place". Cette attestation ne met pas en évidence une maladie soudaine qui aurait empêché le requérant de prendre à temps les dispositions nécessaires pour s'acquitter de l'avance de frais requise en temps voulu, en particulier de confier à son épouse ou à un autre proche le soin d'agir à sa place.</w:t>
      </w:r>
    </w:p>
    <w:p>
      <w:r>
        <w:t>En conclusion, les conditions d'une restitution du délai au sens de l' art. 50 al. 1 LTF ne sont pas réalisées.</w:t>
      </w:r>
    </w:p>
    <w:p>
      <w:r>
        <w:rPr>
          <w:b/>
        </w:rPr>
        <w:t>E. 3</w:t>
      </w:r>
    </w:p>
    <w:p>
      <w:r>
        <w:t>Dans ces circonstances, la requête en restitution du délai imparti au requérant au 31 août 2022 pour s'acquitter de la première tranche de l'avance de frais doit être rejetée. Dans la mesure où l'arrêt du 8 septembre 2022 a été rendu sans frais, les trois acomptes de 100 fr. versés par le requérant en septembre et octobre 2022 lui sont restitués.</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