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9F_12/2014 vom 2. Februar 2015</w:t>
      </w:r>
    </w:p>
    <w:p>
      <w:r>
        <w:t>Bundesgericht, 2015-02-02, FR</w:t>
      </w:r>
    </w:p>
    <w:p>
      <w:r>
        <w:rPr>
          <w:b/>
        </w:rPr>
        <w:t xml:space="preserve">Quelle: </w:t>
      </w:r>
      <w:r>
        <w:t>https://mcp.opencaselaw.ch/entscheid/bger_9F_12_2014</w:t>
      </w:r>
    </w:p>
    <w:p>
      <w:r>
        <w:t>FR: TF 9F_12/2014 du 2 février 2015</w:t>
      </w:r>
    </w:p>
    <w:p>
      <w:r>
        <w:t>IT: TF 9F_12/2014 del 2 febbraio 2015</w:t>
      </w:r>
    </w:p>
    <w:p>
      <w:pPr>
        <w:pStyle w:val="Heading2"/>
      </w:pPr>
      <w:r>
        <w:t>Erwägungen</w:t>
      </w:r>
    </w:p>
    <w:p>
      <w:r>
        <w:rPr>
          <w:b/>
        </w:rPr>
        <w:t>E. 1.1</w:t>
      </w:r>
    </w:p>
    <w:p>
      <w:r>
        <w:t>L' art. 129 al. 1 LTF prévoit que si le dispositif d'un arrêt du Tribunal fédéral est peu clair, incomplet ou équivoque, ou si des éléments sont contradictoires entre eux ou avec les motifs, ou s'il contient des erreurs de rédaction ou de calcul, le Tribunal fédéral, à la demande écrite d'une partie ou d'office, interprète ou rectifie l'arrêt.</w:t>
      </w:r>
    </w:p>
    <w:p>
      <w:r>
        <w:rPr>
          <w:b/>
        </w:rPr>
        <w:t>E. 1.2</w:t>
      </w:r>
    </w:p>
    <w:p>
      <w:r>
        <w:t>Cette procédure, qui peut être entreprise d'office par le Tribunal fédéral et qui n'est soumise à aucun délai, doit permettre de corriger, avec un minimum de formalités, les erreurs ou omissions qui peuvent intervenir dans le libellé d'un dispositif. Pour qu'il y ait lieu à rectification en application de l' art. 129 al. 1 LTF , il faut qu'apparaisse, à la lecture de l'arrêt dans son ensemble et en fonction des circonstances, une simple inadvertance qui peut être corrigée sur la base de ce qui a été décidé. En parlant de rectifier un dispositif incomplet, l' art. 129 al. 1 LTF permet notamment de compléter le dispositif lorsque l'omission résulte d'une inadvertance et peut être corrigée sans hésitation sur la base de ce qui a déjà été décidé. De cette manière, le complètement de l' art. 129 al. 1 LTF se distingue du cas de révision prévu par l' art. 121 let . c LTF, qui suppose que le Tribunal fédéral doive encore trancher sur un chef de conclusion contesté (cf. NICOLAS VON WERDT,</w:t>
      </w:r>
    </w:p>
    <w:p>
      <w:r>
        <w:t>in SEILER/VON WERDT/GÜNGERICH, Bundesgerichtsgesetz, 2007, n° 23 ad art. 129 LTF ).</w:t>
      </w:r>
    </w:p>
    <w:p>
      <w:r>
        <w:rPr>
          <w:b/>
        </w:rPr>
        <w:t>E. 1.3</w:t>
      </w:r>
    </w:p>
    <w:p>
      <w:r>
        <w:t>En l'occurrence, le dispositif de l'arrêt du 28 juillet 2014 a annulé dans son entier le jugement du Tribunal cantonal du canton de Fribourg du 12 février 2014. Or, comme le relève à juste titre la requérante, l'arrêt du Tribunal fédéral a, au final, reconnu l'erreur commise par l'intimée dans la fixation de l'allocation de maternité due à la requérante et, partant, le bien-fondé sur le principe de la démarche de recours entreprise par cette dernière. Le fait que la décision litigieuse et le jugement de première instance ont été annulés et la cause renvoyée à l'intimée afin qu'elle mettre en oeuvre les principes dégagés par le Tribunal fédéral n'enlève rien au fait que le recours formé par la requérante devant la juridiction cantonale était justifié. Eu égard au sort de la cause, il appartenait au Tribunal fédéral de se prononcer sur le sort des dépens de la procédure cantonale. Conformément à la pratique consacrée par le Tribunal fédéral et prévue par l'art. 68 al. 5</w:t>
      </w:r>
    </w:p>
    <w:p>
      <w:r>
        <w:t>in fine LTF, il s'imposait de renvoyer l'affaire à la juridiction cantonale pour que cette autorité statue à nouveau sur les dépens de la procédure cantonale. Par inadvertance, cette clause de renvoi a été omise dans le dispositif, si bien qu'il y a lieu de compléter l'arrêt du 28 juillet 2014 en ce sens.</w:t>
      </w:r>
    </w:p>
    <w:p>
      <w:r>
        <w:rPr>
          <w:b/>
        </w:rPr>
        <w:t>E. 2.1</w:t>
      </w:r>
    </w:p>
    <w:p>
      <w:r>
        <w:t>Bien fondée, la demande en rectification doit par conséquent être admise, ce qui rend sans objet la demande en révision. Vu l'issue de la procédure, qui relève de motifs formels, il convient de renoncer à un échange d'écritures.</w:t>
      </w:r>
    </w:p>
    <w:p>
      <w:r>
        <w:rPr>
          <w:b/>
        </w:rPr>
        <w:t>E. 2.2</w:t>
      </w:r>
    </w:p>
    <w:p>
      <w:r>
        <w:t>Il ne sera pas perçu de frais judiciaires et une indemnité de dépens de 1'000 fr. sera allouée à la requérante à titre de dépens, à charge de la caisse du Tribunal fédéral ( art. 66 al. 1 et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