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9F_10/2009 vom 10. November 2009</w:t>
      </w:r>
    </w:p>
    <w:p>
      <w:r>
        <w:t>Bundesgericht, 2009-11-10, IT</w:t>
      </w:r>
    </w:p>
    <w:p>
      <w:r>
        <w:rPr>
          <w:b/>
        </w:rPr>
        <w:t xml:space="preserve">Quelle: </w:t>
      </w:r>
      <w:r>
        <w:t>https://mcp.opencaselaw.ch/entscheid/bger_9F_10_2009</w:t>
      </w:r>
    </w:p>
    <w:p>
      <w:r>
        <w:t>FR: TF 9F_10/2009 du 10 novembre 2009</w:t>
      </w:r>
    </w:p>
    <w:p>
      <w:r>
        <w:t>IT: TF 9F_10/2009 del 10 novembre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Non si entra nel merito della domanda del 29 ottobre 2009.</w:t>
      </w:r>
    </w:p>
    <w:p>
      <w:r>
        <w:rPr>
          <w:b/>
        </w:rPr>
        <w:t>E. 2</w:t>
      </w:r>
    </w:p>
    <w:p>
      <w:r>
        <w:t>La domanda del 29 ottobre 2009 è trasmessa per competenza alla Cassa cantonale di compensazione.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10 novembre 2009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