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9/2022 vom 8. März 2022</w:t>
      </w:r>
    </w:p>
    <w:p>
      <w:r>
        <w:t>Bundesgericht, 2022-03-08, DE</w:t>
      </w:r>
    </w:p>
    <w:p>
      <w:r>
        <w:rPr>
          <w:b/>
        </w:rPr>
        <w:t xml:space="preserve">Quelle: </w:t>
      </w:r>
      <w:r>
        <w:t>https://mcp.opencaselaw.ch/entscheid/bger_9C_9_2022</w:t>
      </w:r>
    </w:p>
    <w:p>
      <w:r>
        <w:t>FR: TF 9C 9/2022 du 8 mars 2022</w:t>
      </w:r>
    </w:p>
    <w:p>
      <w:r>
        <w:t>IT: TF 9C 9/2022 del 8 marzo 2022</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Art. 29 Abs. 1 BGG ; BGE 145 V 380 E. 1 Ingress mit Hinweis).</w:t>
      </w:r>
    </w:p>
    <w:p>
      <w:r>
        <w:rPr>
          <w:b/>
        </w:rPr>
        <w:t>E. 2.1</w:t>
      </w:r>
    </w:p>
    <w:p>
      <w:r>
        <w:t>Beim angefochtenen Entscheid handelt es sich um einen Rückweisungsentscheid. Die IV-Stelle wird darin angewiesen, auf die Neuanmeldung des Beschwerdegegners einzutreten und betreffend berufliche Eingliederungsmassnahmen materiell zu prüfen.</w:t>
      </w:r>
    </w:p>
    <w:p>
      <w:r>
        <w:rPr>
          <w:b/>
        </w:rPr>
        <w:t>E. 2.2</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 Rückweisungsentscheide, mit denen eine Sache wie im vorliegenden Fall zur neuen Entscheidung an die Vorinstanz zurückgewiesen wird, sind grundsätzlich Zwischenentscheide, die nur unter den genannten Voraussetzungen beim Bundesgericht angefochten werden können ( BGE 140 V 282 E. 2 mit Hinweisen; vgl. auch BGE 138 V 271 ).</w:t>
      </w:r>
    </w:p>
    <w:p>
      <w:r>
        <w:rPr>
          <w:b/>
        </w:rPr>
        <w:t>E. 3.1</w:t>
      </w:r>
    </w:p>
    <w:p>
      <w:r>
        <w:t>Der Eintretensgrund von Art. 93 Abs. 1 lit. b BGG fällt hier ohne Weiteres ausser Betracht und wird auch nicht geltend gemacht.</w:t>
      </w:r>
    </w:p>
    <w:p>
      <w:r>
        <w:rPr>
          <w:b/>
        </w:rPr>
        <w:t>E. 3.2.1</w:t>
      </w:r>
    </w:p>
    <w:p>
      <w:r>
        <w:t>Mit Blick auf das in Art. 93 Abs. 1 lit. a BGG festgehaltene Erfordernis des nicht wieder gutzumachenden Nachteils gilt es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Urteil 8C_91/2019 vom 16. April 2019 E. 2.2).</w:t>
      </w:r>
    </w:p>
    <w:p>
      <w:r>
        <w:rPr>
          <w:b/>
        </w:rPr>
        <w:t>E. 3.2.2</w:t>
      </w:r>
    </w:p>
    <w:p>
      <w:r>
        <w:t>Zu präzisieren ist, dass vom Grundsatz der Nichtanhandnahme direkter Beschwerden gegen erwiesenermassen ungerechtfertigte Rückweisungsentscheide mangels Vorliegens der Eintretensvoraussetzungen von Art. 93 Abs. 1 lit. a und b BGG eine Ausnahme gemacht werden kann, wenn sich zeigt, dass ein Gericht regelmässig in entsprechender Weise vorgeht ( BGE 139 V 99 E. 2.5 mit Hinweis; Urteil 8C_503/2019 vom 19. Dezember 2019 E. 1.2 mit Hinweisen, in: SVR 2020 IV Nr. 30 S. 107). Dahinter steht die Überlegung, dass eine strikte Einzelfallbehandlung der Eintretensvoraussetzungen es verunmöglichen würde, eine Fehlpraxis zu korrigieren. Es verhält sich insofern ähnlich, wie wenn unter bestimmten Bedingungen auf das Eintretenserfordernis des aktuellen praktischen Interesses ( Art. 89 Abs. 1 lit. c BGG ) verzichtet wird, damit eine bestimmte Frage von allgemeinem Interesse überhaupt je einmal beurteilt werden kann (Urteil 9C_287/2020 vom 22. September 2020 E. 1.2.2 mit diversen Hinweisen; vgl. BGE 140 III 92 E. 1.1 ; 139 I 206 E. 1.1 ; 137 I 23 E. 1.3.1; 136 III 497 E. 1.1).</w:t>
      </w:r>
    </w:p>
    <w:p>
      <w:r>
        <w:rPr>
          <w:b/>
        </w:rPr>
        <w:t>E. 4.1</w:t>
      </w:r>
    </w:p>
    <w:p>
      <w:r>
        <w:t>Die beschwerdeführende IV-Stelle beruft sich zum einen auf den in E. 3.2.2 genannten Ausnahmefall. Das Bundesgericht habe auf die Beschwerde einzutreten, weil das kantonale Gericht mit Bezug auf die Eintretensfrage bei Neuanmeldung für berufliche Massnahmen eine bundesrechtswidrige Rechtspraxis verfolge und auch künftig daran festhalten werde. Nach vorinstanzlicher Auffassung sei auf ein Gesuch um Gewährung beruflicher Eingliederungsmassnahmen - entgegen diesbezüglich geltender ständiger Praxis - jederzeit einzutreten, unabhängig davon, ob eine relevante Veränderung seit der letzten rechtskräftigen Leistungsablehnung glaubhaft gemacht worden sei oder nicht.</w:t>
      </w:r>
    </w:p>
    <w:p>
      <w:r>
        <w:rPr>
          <w:b/>
        </w:rPr>
        <w:t>E. 4.2</w:t>
      </w:r>
    </w:p>
    <w:p>
      <w:r>
        <w:t>Gemäss jahrzehntelanger Rechtsprechung ist eine Neuanmeldung nach vorangegangener Ablehnung eines Leistungsgesuchs (um Rente, Hilflosenentschädigung oder Eingliederungsmassnahmen) nur zu prüfen,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muss (Art. 87 Abs. 3 in Verbindung mit Abs. 2 IVV; BGE 130 V 64 E. 5.2.3; 125 V 410 E. 2b; 117 V 198 E. 4b; 109 V 108 E. 2a, 119 E. 3a und 3b, 262 E. 3; Urteil 9C_287/2020 vom 22. September 2020 E. 1.3.1). Anders als noch im erwähnten Urteil 9C_287/2020, in welchem betreffend die gleiche Konstellation (IV-Stelle, Vorinstanz, Rechtsfrage) erkannt worden war, anhand von drei Fällen könne (noch) nicht geschlossen werden, das kantonale Gericht übergehe die angeführte Rechtsprechung systematisch (vgl. dortige E. 1.3.2), beruft sich die Beschwerdeführerin nunmehr auf insgesamt sechs derartige Entscheide der Vorinstanz (samt dem hier angefochtenen). Wie es sich damit verhält respektive ob gestützt darauf nunmehr von der beschriebenen Ausnahmesituation bezüglich Eintretensvoraussetzung auszugehen wäre, braucht jedoch aus den nachstehend aufgeführten Gründen nicht abschliessend beurteilt zu werden.</w:t>
      </w:r>
    </w:p>
    <w:p>
      <w:r>
        <w:rPr>
          <w:b/>
        </w:rPr>
        <w:t>E. 5.1</w:t>
      </w:r>
    </w:p>
    <w:p>
      <w:r>
        <w:t>Die Vorinstanz ist im Sinne einer Eventualbegründung zum Schluss gelangt, dass selbst wenn das Eintreten auf die Neuanmeldung des Beschwerdegegners betreffend berufliche Eingliederungsmassnahmen die Glaubhaftmachung einer relevanten Sachverhaltsveränderung erfordert hätte, die angefochtene Nichteintretensverfügung vom 12. Februar 2021 infolge formaler Gründe aufzuheben wäre. Insbesondere ergebe sich aus dem in Art. 29 Abs. 2 ATSG vorgesehenen Formularzwang, dass die versicherte Person bei Neuanmeldung jeweils ausdrücklich auf die glaubhaft zu machende Veränderung der tatsächlichen Verhältnisse hinzuweisen sei. Auch wenn der Beschwerdegegner also verpflichtet gewesen wäre, so die Vorinstanz abschliessend, eine relevante Sachverhaltsveränderung glaubhaft zu machen, hätte die IV-Stelle ihn nach dem Erhalt des diesbezüglich unvollständigen Anmeldeformulars dazu durch entsprechende Rückfrage auffordern müssen. Da dies nicht geschehen sei, sei die angefochtene Nichteintretensverfügung rechtswidrig ergangen und bereits aus diesem Grund aufzuheben; sie sei durch einen verfahrensleitenden Eintretensentscheid zu ersetzen.</w:t>
      </w:r>
    </w:p>
    <w:p>
      <w:r>
        <w:rPr>
          <w:b/>
        </w:rPr>
        <w:t>E. 5.2</w:t>
      </w:r>
    </w:p>
    <w:p>
      <w:r>
        <w:t>Die Vorgehensweise des kantonalen Gerichts - Ersetzen der angefochtenen Nichteintretensverfügung vom 12. Februar 2021 durch einen verfahrensleitenden Eintretensentscheid auf Grund formeller Mängel - bewirkt für die Beschwerdeführerin keinen nicht wieder gutzumachenden Nachteil nach Art. 93 Abs. 1 lit. b BGG . Sie wird dadurch lediglich angewiesen, dem Versicherten Gelegenheit zu geben, eine relevante Sachverhaltsveränderung glaubhaft zu machen. Der Rückweisungsentscheid enthält keine verbindlichen Anweisungen hinsichtlich der materiellrechtlichen Erledigung des Falls (vgl. E. 3.2.1 hiervor), weshalb der Beurteilungsspielraum der IV-Stelle nicht eingeschränkt wird (Urteile 9C_287/2020 vom 22. September 2020 E. 1.2.1, 8C_91/2019 vom 16. April 2019 E. 2.3 und 9C_898/2007 vom 24. Juli 2008 E. 2.1, in: SVR 2009 IV Nr. 14 S. 35). Auf die Beschwerde der IV-Stelle gegen den kantonalen Entscheid vom 21. Dezember 2021 ist daher nicht einzutreten.</w:t>
      </w:r>
    </w:p>
    <w:p>
      <w:r>
        <w:rPr>
          <w:b/>
        </w:rPr>
        <w:t>E. 6</w:t>
      </w:r>
    </w:p>
    <w:p>
      <w:r>
        <w:t>Dem Verfahrensausgang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