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9C_99/2020 vom 7. Februar 2020</w:t>
      </w:r>
    </w:p>
    <w:p>
      <w:r>
        <w:t>Bundesgericht, 2020-02-07, DE</w:t>
      </w:r>
    </w:p>
    <w:p>
      <w:r>
        <w:rPr>
          <w:b/>
        </w:rPr>
        <w:t xml:space="preserve">Quelle: </w:t>
      </w:r>
      <w:r>
        <w:t>https://mcp.opencaselaw.ch/entscheid/bger_9C_99_2020</w:t>
      </w:r>
    </w:p>
    <w:p>
      <w:r>
        <w:t>FR: TF 9C_99/2020 du 7 février 2020</w:t>
      </w:r>
    </w:p>
    <w:p>
      <w:r>
        <w:t>IT: TF 9C_99/2020 del 7 febbraio 2020</w:t>
      </w:r>
    </w:p>
    <w:p>
      <w:pPr>
        <w:pStyle w:val="Heading2"/>
      </w:pPr>
      <w:r>
        <w:t>Volltext</w:t>
      </w:r>
    </w:p>
    <w:p>
      <w:r>
        <w:t>Bundesgericht</w:t>
      </w:r>
    </w:p>
    <w:p>
      <w:r>
        <w:t>Tribunal fédéral</w:t>
      </w:r>
    </w:p>
    <w:p>
      <w:r>
        <w:t>Tribunale federale</w:t>
      </w:r>
    </w:p>
    <w:p>
      <w:r>
        <w:t>Tribunal federal</w:t>
      </w:r>
    </w:p>
    <w:p>
      <w:r>
        <w:t>9C_99/2020</w:t>
      </w:r>
    </w:p>
    <w:p>
      <w:r>
        <w:t>Urteil vom 7. Februar 2020</w:t>
      </w:r>
    </w:p>
    <w:p>
      <w:r>
        <w:t>II. sozialrechtliche Abteilung</w:t>
      </w:r>
    </w:p>
    <w:p>
      <w:r>
        <w:t>Besetzung</w:t>
      </w:r>
    </w:p>
    <w:p>
      <w:r>
        <w:t>Bundesrichter Parrino, Präsident,</w:t>
      </w:r>
    </w:p>
    <w:p>
      <w:r>
        <w:t>Gerichtsschreiberin Huber.</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w:t>
      </w:r>
    </w:p>
    <w:p>
      <w:r>
        <w:t>vom 9. Dezember 2019</w:t>
      </w:r>
    </w:p>
    <w:p>
      <w:r>
        <w:t>(AB.2019.00016 und AB.2019.00041).</w:t>
      </w:r>
    </w:p>
    <w:p>
      <w:r>
        <w:t>Nach Einsicht</w:t>
      </w:r>
    </w:p>
    <w:p>
      <w:r>
        <w:t>in die Beschwerde vom 3. Februar 2020 (Poststempel) gegen den Entscheid des Sozialversicherungsgerichts des Kantons Zürich vom 9. Dezember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vom kantonalen Gericht verletzt worden sind ( BGE 134 V 53 E. 3.3 S. 60),</w:t>
      </w:r>
    </w:p>
    <w:p>
      <w:r>
        <w:t>dass die Beschwerde diesen inhaltlichen Mindestanforderungen offensichtlich nicht genügt, da den Ausführungen nichts entnommen werden kann, was darauf hindeutete, dass die vorinstanzliche Sachverhaltsfeststellung im Sinne von Art. 97 Abs. 1 BGG - soweit überhaupt beanstandet - unzutreffend (unhaltbar, willkürlich; BGE 140 V 22 E. 7.3.1 S. 39; 135 II 145 E. 8.1 S. 153) oder die darauf beruhenden Erwägungen rechtsfehlerhaft sein sollten (vgl. Art. 95 BGG ),</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7. Februar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