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9C_99/2011 vom 28. Februar 2011</w:t>
      </w:r>
    </w:p>
    <w:p>
      <w:r>
        <w:t>Bundesgericht, 2011-02-28, DE</w:t>
      </w:r>
    </w:p>
    <w:p>
      <w:r>
        <w:rPr>
          <w:b/>
        </w:rPr>
        <w:t xml:space="preserve">Quelle: </w:t>
      </w:r>
      <w:r>
        <w:t>https://mcp.opencaselaw.ch/entscheid/bger_9C_99_2011</w:t>
      </w:r>
    </w:p>
    <w:p>
      <w:r>
        <w:t>FR: TF 9C_99/2011 du 28 février 2011</w:t>
      </w:r>
    </w:p>
    <w:p>
      <w:r>
        <w:t>IT: TF 9C_99/2011 del 28 febbraio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ist die Verpflichtung des Beschwerdeführers zur Bezahlung von Prämien für die Monate Januar bis März 2010 zuzüglich Verzugszinsen sowie Mahn- und Betreibungsspesen und damit verbunden der Bestand des die obligatorische Krankenpflege betreffenden Versicherungsverhältnisses zwischen Beschwerdeführer und Beschwerdegegnerin ab 1. Januar 2010.</w:t>
      </w:r>
    </w:p>
    <w:p>
      <w:r>
        <w:rPr>
          <w:b/>
        </w:rPr>
        <w:t>E. 2.1</w:t>
      </w:r>
    </w:p>
    <w:p>
      <w:r>
        <w:t>Nach Art. 64a Abs. 4 KVG auf welchen der Beschwerdeführer durch die Beschwerdegegnerin mehrfach hingewiesen wurde und auf den sich auch die Vorinstanz zu Recht bezieht, können säumige Versicherte den Krankenversicherer nicht wechseln, solange sie ausstehende Prämien, Kostenbeteiligungen, Verzugszinsen und Betreibungskosten nicht vollständig bezahlt haben. Zielsetzung der Regelung ist, wie auch das kantonale Gericht zutreffend erwog, der Schutz der Versichertengemeinschaft vor Prämienerhöhungen, die durch nicht einbringliche Zahlungsausstände von Versicherten bedingt sind, welche einen Versichererwechsel vornehmen, ohne zuvor die Zahlungsausstände beglichen zu haben (Botschaft zur Änderung des Bundesgesetzes über die Krankenversicherung [Prämienverbilligung] und zum Bundesbeschluss über die Bundesbeiträge in der Krankenversicherung vom 26. Mai 2004, BBl 2004, 4143; Urteil 9C_477/2008 vom 26. August 2008 E. 4.2).</w:t>
      </w:r>
    </w:p>
    <w:p>
      <w:r>
        <w:rPr>
          <w:b/>
        </w:rPr>
        <w:t>E. 2.2</w:t>
      </w:r>
    </w:p>
    <w:p>
      <w:r>
        <w:t>Das kantonale Gericht stellte in tatsächlicher Hinsicht verbindlich fest, zum Zeitpunkt der Kündigung des Versicherungsvertrages durch den Beschwerdeführer seien die Prämienforderungen für die Monate Oktober und Dezember 2008 noch offen gewesen; deren Begleichung sei (erst) am 15. Juni 2010 durch das Betreibungsamt X.________ erfolgt. Die Vorinstanz hat die Kündigung des Versicherungsvertrages durch den säumigen Beschwerdeführer demzufolge zu Recht als wirkungslos erachtet (E. 2.1 hievor) und das Vorgehen der Krankenkasse geschützt, welche die obligatorische Krankenpflegeversicherung zufolge offener Forderungen per 1. Januar 2010 reaktivierte, vom Beschwerdeführer weiterhin Prämien für die obligatorische Krankenpflegeversicherung forderte und nach erfolglosem Mahnverfahren betreffend die Prämien Januar bis März 2010 am 15. Juli 2010 ein Betreibungsverfahren einleitete. Auf die entsprechenden Erwägungen der Vorinstanz kann verwiesen werden.</w:t>
      </w:r>
    </w:p>
    <w:p>
      <w:r>
        <w:rPr>
          <w:b/>
        </w:rPr>
        <w:t>E. 2.3</w:t>
      </w:r>
    </w:p>
    <w:p>
      <w:r>
        <w:t>Die Vorbringen des Beschwerdeführers, welche in einer ausführlichen Kritik des Vorgehens der Beschwerdegegnerin bestehen, denen indes nicht zu entnehmen ist, inwiefern der angefochtene Entscheid gegen Bundesrecht verstösst - was das Bundesgericht einzig zu prüfen hat (E. 1 hievor) -, vermögen an der Bundesrechtskonformität des angefochtenen Entscheides nichts zu ändern. Ob die unbewiesen gebliebene Behauptung zutrifft, er sei vom Ombudsmann Krankenversicherung dahingehend informiert worden, die Kündigung wäre unbesehen allfälliger offener Forderungen gültig, sofern er von der Krankenkasse keine Aufstellung über die Ausstände erhalten habe, ist nicht entscheidwesentlich. Nach den zutreffenden Erwägungen im angefochtenen Entscheid waren dem Beschwerdeführer die das Jahr 2008 betreffenden Ausstände aufgrund des hiefür von der Beschwerdegegnerin eingeleiteten Betreibungsverfahrens mit Pfändungsankündigung/Vorladung vom 24. September 2009 bekannt. Im Übrigen tätigte er auch nach Erhalt der einverlangten Auflistung offener Forderungen (wonach per 31. Dezember 2009 ein Ausstand zu Gunsten der Versicherung von Fr. 750.35 bestand; E-Mail der Beschwerdegegnerin vom 20. Januar 2010) keine entsprechende Überweisung, sondern die Forderung wurde - wie erwähnt (E. 2.2 hievor) - erst durch Zahlung des Betreibungsamtes X.________ vom 15. Juni 2010 beglichen. Die Behauptungen, alle Ausstände des Jahres 2008 seien Ende 2009 bezahlt und eine entsprechende Betreibung zu Unrecht eingeleitet worden, sind haltlos.</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