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9C_992/2008 vom 6. Januar 2009</w:t>
      </w:r>
    </w:p>
    <w:p>
      <w:r>
        <w:t>Bundesgericht, 2009-01-06, DE</w:t>
      </w:r>
    </w:p>
    <w:p>
      <w:r>
        <w:rPr>
          <w:b/>
        </w:rPr>
        <w:t xml:space="preserve">Quelle: </w:t>
      </w:r>
      <w:r>
        <w:t>https://mcp.opencaselaw.ch/entscheid/bger_9C_992_2008</w:t>
      </w:r>
    </w:p>
    <w:p>
      <w:r>
        <w:t>FR: TF 9C_992/2008 du 6 janvier 2009</w:t>
      </w:r>
    </w:p>
    <w:p>
      <w:r>
        <w:t>IT: TF 9C_992/2008 del 6 gennaio 2009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In der Beschwerde wird einzig eine Verletzung des rechtlichen Gehörs gerügt mit der Begründung, IV- Stelle und kantonales Gericht hätten eine reformatio in peius vorgenommen, ohne zuvor der Versicherten die Möglichkeit des Rückzugs der Beschwerde gegen die ursprünglich verfügte Zusprechung einer halben Rente eingeräumt zu haben. Diese Rüge geht jedoch fehl. Von einer reformatio in peius kann nämlich nur gesprochen werden, wenn die urteilende Instanz selber einen reformatorischen Entscheid fällt. Die blosse Möglichkeit einer Schlechterstellung der beschwerdeführenden Partei infolge Aufhebung des angefochtenen Entscheids oder der Verwaltungsverfügung verbunden mit Rückweisung zu ergänzender Sachverhaltsfeststellung sowie zu neuer Beurteilung der Sache gilt gemäss ständiger bundesgerichtlicher Rechtsprechung nicht als reformatio in peius (ARV 1995 Nr. 23 S. 138 E. 3a mit Hinweis auf ZAK 1988 S. 615 E. 2b; Urteile P. vom 15. Mai 2000, I 226/99; N. vom 26. März 2004, I 668/03; W. vom 9. November 2006, M 11/05, und M. vom 10. Dezember 2007, U 30/07), es sei denn, die Rückweisung an die Verwaltung habe mit Sicherheit eine Verschlechterung der Rechtsstellung des Beschwerdeführenden zur Folge (ARV 1995 Nr. 23 S. 139 E. 3b), was hier in Anbetracht des ersten kantonalen Entscheides vom 19. Dezember 2006 nicht der Fall war. Hinsichtlich der Aufhebung der halben Invalidenrente, welche in keinem Zeitpunkt auf einem formell rechtskräftigen und materiell rechtsbeständigen Verwaltungsakt oder Gerichtsurteil beruhte, wird in der Beschwerde nichts vorgebracht, weshalb insoweit keine rechtsgenügliche Beschwerde vorliegt ( Art. 42 Abs. 2 BGG )</w:t>
      </w:r>
    </w:p>
    <w:p>
      <w:r>
        <w:rPr>
          <w:b/>
        </w:rPr>
        <w:t>E. 3.1</w:t>
      </w:r>
    </w:p>
    <w:p>
      <w:r>
        <w:t>Die Beschwerde hatte keine Aussicht auf Erfolg, weshalb sie im vereinfachten Verfahren nach Art. 109 BGG als offensichtlich unbegründet (Abs. 2 lit. a), ohne Durchführung des Schriftenwechsels, mit summarischer Begründung erledigt wird.</w:t>
      </w:r>
    </w:p>
    <w:p>
      <w:r>
        <w:rPr>
          <w:b/>
        </w:rPr>
        <w:t>E. 3.2</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