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9C_987/2009 vom 27. Januar 2010</w:t>
      </w:r>
    </w:p>
    <w:p>
      <w:r>
        <w:t>Bundesgericht, 2010-01-27, DE</w:t>
      </w:r>
    </w:p>
    <w:p>
      <w:r>
        <w:rPr>
          <w:b/>
        </w:rPr>
        <w:t xml:space="preserve">Quelle: </w:t>
      </w:r>
      <w:r>
        <w:t>https://mcp.opencaselaw.ch/entscheid/bger_9C_987_2009</w:t>
      </w:r>
    </w:p>
    <w:p>
      <w:r>
        <w:t>FR: TF 9C_987/2009 du 27 janvier 2010</w:t>
      </w:r>
    </w:p>
    <w:p>
      <w:r>
        <w:t>IT: TF 9C_987/2009 del 27 gennaio 2010</w:t>
      </w:r>
    </w:p>
    <w:p>
      <w:pPr>
        <w:pStyle w:val="Heading2"/>
      </w:pPr>
      <w:r>
        <w:t>Erwägungen</w:t>
      </w:r>
    </w:p>
    <w:p>
      <w:r>
        <w:rPr>
          <w:b/>
        </w:rPr>
        <w:t>E. 1</w:t>
      </w:r>
    </w:p>
    <w:p>
      <w:r>
        <w:t>Die Invaliditätsbemessung der Invalidenversicherung ist geeignet, die Leistungspflicht aus (obligatorischer) beruflicher Vorsorge in grundsätzlicher, zeitlicher und masslicher Hinsicht im Sinne von Art. 49 Abs. 4 ATSG (unmittelbar) zu berühren (vgl. Art. 23 ff. BVG ). Die Organe der beruflichen Vorsorge sind daher zur Beschwerde gegen die Verfügung der IV-Stelle über den Rentenanspruch als solchen oder den Invaliditätsgrad berechtigt; ebenso ist der BVG-Versicherer grundsätzlich befugt, Beschwerde an das Bundesgericht gegen Entscheide kantonaler Gerichte in Streitigkeiten um eine Rente der Invalidenversicherung zu führen ( BGE 132 V 1 E. 3.3.1 S. 5; vgl. Art. 89 Abs. 1 lit. b und c BGG ).</w:t>
      </w:r>
    </w:p>
    <w:p>
      <w:r>
        <w:rPr>
          <w:b/>
        </w:rPr>
        <w:t>E. 2.1</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2.2</w:t>
      </w:r>
    </w:p>
    <w:p>
      <w:r>
        <w:t>Es steht fest und ist unbestritten, dass die Vorinstanz mit Schreiben vom 24. August 2009 die Alvoso zur Vernehmlassung einlud mit dem Hinweis, bei Säumnis werde der Verzicht auf eine Verfahrensbeteiligung angenommen. Nach verbindlicher Feststellung im angefochtenen Entscheid ( Art. 105 Abs. 1 und 2 BGG ) machte die Vorsorgeeinrichtung von der ihr eingeräumten Gelegenheit zur Stellungnahme keinen Gebrauch. Bei dieser Sachlage erfüllt sie die Eintretensvoraussetzung der formellen Beschwer gemäss Art. 89 Abs. 1 lit. a BGG nicht, weshalb auf ihr Rechtsmittel nicht eingetreten werden kann (vgl. Urteil 9C_14/2009 vom 29. Oktober 2009 E. 2.2).</w:t>
      </w:r>
    </w:p>
    <w:p>
      <w:r>
        <w:rPr>
          <w:b/>
        </w:rPr>
        <w:t>E. 3</w:t>
      </w:r>
    </w:p>
    <w:p>
      <w:r>
        <w:t>Dem Verfahrensausgang entsprechend hat die Alvoso die Gerichtskosten zu tragen ( Art. 66 Abs. 1 BGG ). Die Ausnahmeregelung von Art. 66 Abs. 4 BGG ist nicht anwendbar, da die Vorsorgeeinrichtung in ihrem Vermögensinteresse handelt (vgl. Urteil 8C_67/2007 vom 25. September 2007 E. 6, 9C_101/2007 vom 12. Juni 2007 E. 4; vgl. auch BGE 133 V 640 E. 4.5 S. 641 f.). Dem obsiegenden, anwaltlich vertretenen Beschwerdegegner steht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