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9C_986/2010 vom 8. November 2011</w:t>
      </w:r>
    </w:p>
    <w:p>
      <w:r>
        <w:t>Bundesgericht, 2011-11-08, IT</w:t>
      </w:r>
    </w:p>
    <w:p>
      <w:r>
        <w:rPr>
          <w:b/>
        </w:rPr>
        <w:t xml:space="preserve">Quelle: </w:t>
      </w:r>
      <w:r>
        <w:t>https://mcp.opencaselaw.ch/entscheid/bger_9C_986_2010</w:t>
      </w:r>
    </w:p>
    <w:p>
      <w:r>
        <w:t>FR: TF 9C_986/2010 du 8 novembre 2011</w:t>
      </w:r>
    </w:p>
    <w:p>
      <w:r>
        <w:t>IT: TF 9C_986/2010 del 8 novembre 2011</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L'autorità giudiziaria cantonale ha correttamente esposto le norme e i principi disciplinanti la materia, ricordando in particolare le condizioni alle quali è subordinato il riconoscimento di una rendita d'invalidità ( art. 4 cpv. 1 e 28 LAI in relazione con gli art. 7 e 8 LPGA ), il sistema di confronto dei redditi per l'accertamento del grado d'invalidità di assicurati esercitanti un'attività lucrativa ( art. 16 LPGA ), il valore probatorio generalmente riconosciuto ai referti medici fatti allestire da un tribunale o dall'amministrazione conformemente alle regole di procedura applicabili ( DTF 125 V 256 consid. 4 pag. 261, 351 consid. 3b/ee pag. 353) e gli effetti temporali della riduzione o soppressione di una rendita in caso di prima assegnazione retroattiva decrescente o temporanea (cfr. pure sentenza del Tribunale federale delle assicurazioni I 297/03 del 3 maggio 2005, consid. 1 non pubblicato in DTF 131 V 164 , ma in SVR 2006 IV n. 14 pag. 51). A tale esposizione può essere fatto riferimento e prestata adesione, non senza però ribadire che se la persona interessata non sfrutta in maniera completa e ragionevolmente esigibile la capacità lavorativa residua, il reddito da invalido va determinato alla luce dei dati forniti dalle statistiche salariali come risultano segnatamente dall'ISS ( DTF 126 V 75 consid. 3b pag. 76 con riferimenti).</w:t>
      </w:r>
    </w:p>
    <w:p>
      <w:r>
        <w:rPr>
          <w:b/>
        </w:rPr>
        <w:t>E. 3.1</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dal Tribunale federale soltanto alle severe condizioni più sopra esposte ( DTF 132 V 393 consid. 3.2 pag. 398). Lo stesso vale anche per la valutazione medica sulle risorse psichiche residue di una persona assicurata (cfr. sentenza 9C_1013/2008 del 23 dicembre 2009 consid. 4.1).</w:t>
      </w:r>
    </w:p>
    <w:p>
      <w:r>
        <w:rPr>
          <w:b/>
        </w:rPr>
        <w:t>E. 3.2</w:t>
      </w:r>
    </w:p>
    <w:p>
      <w:r>
        <w:t>Di per sé, l'accertamento del primo giudice in merito alla capacità lavorativa residua dell'assicurato può essere ritenuto manifestamente inesatto e venir corretto solo nella misura in cui l'istanza inferiore dovesse essere incorsa nell'arbitrio, vietato dall' art. 9 Cost. (cfr. DTF 134 V 53 consid. 4.3 pag. 62; 133 III 393 co su 7.1 pag. 398). 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3.3</w:t>
      </w:r>
    </w:p>
    <w:p>
      <w:r>
        <w:t>Le censure sollevate dal ricorrente sono perlopiù di natura appellatoria e, in quanto tali, inammissibili in questa sede (cfr. ad esempio sentenza 9C_339/2007 del 5 marzo 2008 consid. 5.2.3 con riferimento). In particolare, l'insorgente si limita a criticare la valutazione del primo giudice senza però indicare in quale misura quest'ultima sarebbe non solo inesatta, ma addirittura arbitraria, e dimenticando che la stessa poggia sulle univoche e approfondite conclusioni di due perizie esterne, rese a distanza di oltre quattro anni l'una dall'altra, senza essere state smentite o comunque seriamente messe in dubbio da altra documentazione specialistica agli atti. Come in sede cantonale, il ricorrente si richiama infatti essenzialmente alla valutazione 2 febbraio 2010 del suo medico di famiglia, dott. O.________, che però, contrariamente ai medici interpellati dall'amministrazione, non è specialista nelle discipline esaminate. Lo stesso dicasi per il dott. B.________, alle cui (precedenti) considerazioni R.________ ugualmente si appella. Anche per questo motivo, oltre che per il fatto che secondo l'esperienza comune il medico curante tende generalmente, in caso di dubbio, a pronunciarsi in favore del proprio paziente in ragione del rapporto di fiducia che lo unisce a quest'ultimo (cfr. DTF 125 V 351 consid. 3b/cc pag. 353), le sue conclusioni non sono atte a rendere arbitrario l'apprezzamento del giudice cantonale in merito al grado di capacità lavorativa residua (totale) in attività confacenti allo stato di salute. A ben vedere, la valutazione del primo giudice reggerebbe alle critiche ricorsuali anche qualora il Tribunale federale disponesse - come in passato - di pieno potere di esame. Anche in relazione alla sostanziale coincidenza, a livello diagnostico, delle patologie riscontrate dai diversi medici intervenuti, l'accertamento del primo giudice non appare (manifestamente) censurabile. Egli poteva pertanto - senza arbitrio e senza violare il diritto di essere sentito dell'assicurato - prescindere dal disporre ulteriori accertamenti e in particolare rinunciare a una perizia medico-giudiziaria (v. anche DTF 135 V 465 ).</w:t>
      </w:r>
    </w:p>
    <w:p>
      <w:r>
        <w:rPr>
          <w:b/>
        </w:rPr>
        <w:t>E. 3.4</w:t>
      </w:r>
    </w:p>
    <w:p>
      <w:r>
        <w:t>Tale conclusione vale ugualmente per il rimprovero formulato in questa sede (e non anche dinanzi alla Corte cantonale, come invece lascia intendere il memoriale ricorsuale) di non avere eseguito una valutazione delle capacità funzionali ("Evaluation der funktionellen Leistungsfähigkeit [EFL]"). A prescindere dalla novità - inammissibile, in quanto il Tribunale federale non può considerare circostanze che non sono state accertate nella decisione impugnata ( art. 99 cpv. 1 LTF ; Bernard Corboz, Commentaire de la LTF, 2009, n. 15 ad art. 99) - dell'allegazione, la richiesta, oltre a essere insufficientemente motivata ( art. 42 cpv. 2 LTF ), è anche manifestamente infondata, non fosse altro perché non è stata chiaramente raccomandata né dagli esperti incaricati dall'amministrazione in occasione della perizia del SAM né dai medici curanti, dottori O.________ e B.________ (v. rapporti del 2 febbraio 2010 e del 3 giugno 2009; cfr. sentenze 8C_730/2010 del 10 dicembre 2010 consid. 2.3.1 e 8C_823/2009 del 16 febbraio 2010 consid. 3.3; sull'indicazione e il significato di una simile valutazione cfr. inoltre SVR 2009 IV n. 26 pag. 73 [8C_547/2008]).</w:t>
      </w:r>
    </w:p>
    <w:p>
      <w:r>
        <w:rPr>
          <w:b/>
        </w:rPr>
        <w:t>E. 3.5</w:t>
      </w:r>
    </w:p>
    <w:p>
      <w:r>
        <w:t>Dal momento che contesta ai due reumatologi incaricati dall'UAI, dottori C.________ e A.________, di averlo considerato pienamente abile al lavoro ma senza specificare il tipo di attività sostitutive, è inoltre opportuno ricordare al ricorrente che spetta essenzialmente al consulente professionale, avuto riguardo alle indicazioni e limitazioni mediche, valutare quali attività professionali siano concretamente ipotizzabili ( DTF 107 V 17 consid. 2b pag. 20). Ed è quanto ha fatto nella fattispecie concreta l'UAI che, preso atto delle conclusioni della perizia SAM e osservato come le limitazioni funzionali ivi indicate (v. sopra, Fatti A.c) coincidessero sostanzialmente con quelle riscontrate nel 2005 dal dott. C.________, ha potuto (implicitamente e validamente) riprendere la valutazione 8 settembre 2006 della consulente in integrazione professionale E.________ per stabilire, alla luce di tali limitazioni, quali fossero le attività concretamente esigibili (v. il citato rapporto dell'8 settembre 2006 indicante quali attività esigibili quelle di vendita non qualificata in stazioni self-service o nelle stazioni di benzina, di addetto alla cernita, all'assemblaggio, al controllo di qualità, all'imballaggio nell'industria dell'abbigliamento, alimentare, della plastica, dell'elettronica o farmaceutica).</w:t>
      </w:r>
    </w:p>
    <w:p>
      <w:r>
        <w:rPr>
          <w:b/>
        </w:rPr>
        <w:t>E. 4</w:t>
      </w:r>
    </w:p>
    <w:p>
      <w:r>
        <w:t>Ciò premesso e visto che i dati economici relativi ai redditi con e senza invalidità non sono contestati e risultano dagli atti, merita conferma la pronuncia cantonale. Infatti anche ammettendo, per ipotesi, come ha giustamente rilevato il primo giudice, una riduzione del 25% - ribadita dal ricorrente in sede federale - dal reddito base per tenere conto delle circostanze personali e professionali del caso ( DTF 126 V 75 ), il grado di invalidità rimarrebbe lontanissimo dal minimo di legge (40%) previsto per vantare il diritto a una rendita anche solo parziale.</w:t>
      </w:r>
    </w:p>
    <w:p>
      <w:r>
        <w:rPr>
          <w:b/>
        </w:rPr>
        <w:t>E. 5</w:t>
      </w:r>
    </w:p>
    <w:p>
      <w:r>
        <w:t>Ne segue che il ricorso dev'essere respinto nella misura della sua ammissibilità.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