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9C_986/2008 vom 29. Mai 2009</w:t>
      </w:r>
    </w:p>
    <w:p>
      <w:r>
        <w:t>Bundesgericht, 2009-05-29, FR</w:t>
      </w:r>
    </w:p>
    <w:p>
      <w:r>
        <w:rPr>
          <w:b/>
        </w:rPr>
        <w:t xml:space="preserve">Quelle: </w:t>
      </w:r>
      <w:r>
        <w:t>https://mcp.opencaselaw.ch/entscheid/bger_9C_986_2008</w:t>
      </w:r>
    </w:p>
    <w:p>
      <w:r>
        <w:t>FR: TF 9C_986/2008 du 29 mai 2009</w:t>
      </w:r>
    </w:p>
    <w:p>
      <w:r>
        <w:t>IT: TF 9C_986/2008 del 29 maggio 2009</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par conséquent ouverte. Partant, il n'y a pas lieu d'entrer en matière sur le recours constitutionnel.</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Sur le plan formel, la recourante fait grief au Tribunal des assurances d'avoir violé son droit d'être entendue ( art. 29 al. 2 Cst. ) en refusant d'auditionner ses médecins traitants et en rejetant la requête de mise en oeuvre d'une seconde expertise. La violation du droit d'être entendu (sur cette notion en corrélation avec l'administration de preuves, cf. ATF 130 II 425 consid. 2.1 p. 429, 119 Ib 492 consid. 5b/bb p. 505) dans le sens invoqué par la recourante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w:t>
      </w:r>
    </w:p>
    <w:p>
      <w:r>
        <w:rPr>
          <w:b/>
        </w:rPr>
        <w:t>E. 4.1</w:t>
      </w:r>
    </w:p>
    <w:p>
      <w:r>
        <w:t>Se fondant sur les conclusions de l'expertise réalisée par le Centre d'Expertise Médicale Y.________, laquelle revêtait une pleine valeur probante au sens de la jurisprudence, le Tribunal des assurances a considéré que la recourante disposait d'une capacité résiduelle de travail de 75 %.</w:t>
      </w:r>
    </w:p>
    <w:p>
      <w:r>
        <w:rPr>
          <w:b/>
        </w:rPr>
        <w:t>E. 4.2</w:t>
      </w:r>
    </w:p>
    <w:p>
      <w:r>
        <w:t>La recourante reproche au Tribunal des assurances d'avoir procédé à une appréciation arbitraire des preuves en ne tenant pas compte des avis contradictoires de ses médecins traitants, les docteurs N.________ et H.________. Ce faisant, la recourante ne remet pas explicitement en cause la valeur probante de l'expertise sur laquelle les premiers juges se sont appuyés. Les conclusions de cette expertise judiciaire, rendues par un collège de médecins spécialistes, résultent pourtant d'une analyse complète de la situation médicale - objective et subjective -, portant aussi bien sur les aspects somatiques que psychiques des troubles allégués et reposant sur une anamnèse complète contenant notamment une description précise et exhaustive des plaintes et du quotidien.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4.3</w:t>
      </w:r>
    </w:p>
    <w:p>
      <w:r>
        <w:t>Compte tenu de son pouvoir d'examen restreint (cf. supra consid. 2), il n'appartient pas au Tribunal fédéral de procéder une nouvelle fois à l'appréciation des preuves administrées, mais à la partie recourante d'établir en quoi celle opérée par l'autorité cantonale serait incomplète ou manifestement inexacte. En l'occurrence, la motivation de la recourante consiste exclusivement à souligner la divergence d'opinion quant au degré de capacité de travail exigible opposant les experts et ses médecins traitants. Une évaluation médicale complète et approfondie telle que l'expertise du Centre d'Expertise Médicale Y.________ ne saurait toutefois être remise en cause au seul motif qu'un ou plusieurs médecins ont une opinion divergente. Il ne peut en aller différemment que si lesdits médecins font état d'éléments objectivement vérifiables ayant été ignorés dans le cadre de l'évaluation globale et suffisamment pertinents pour en remettre en cause les conclusions. Or la recourante ne cherche nullement à démontrer l'existence de contradictions manifestes ou d'éléments cliniques ou diagnostiques ignorés, et encore moins à expliquer en quoi le point de vue de ses médecins traitants serait objectivement mieux fondé que celui des experts ou justifierait la mise en oeuvre d'une mesure d'instruction complémentaire. Faute de griefs motivés, il n'y a pas lieu de remettre en cause le bien-fondé de l'expertise judiciaire réalisée par le Centre d'Expertise Médicale Y.________ et, partant, le résultat de l'appréciation des preuves opérée par le Tribunal des assurances.</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